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03AD" w14:textId="70B4D1EE"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w:t>
      </w:r>
      <w:r w:rsidR="003A5380" w:rsidRPr="00A6763A">
        <w:rPr>
          <w:rFonts w:ascii="Arial" w:eastAsia="Batang" w:hAnsi="Arial" w:cs="Arial"/>
          <w:b/>
          <w:bCs/>
          <w:lang w:val="sv-SE" w:eastAsia="en-US"/>
        </w:rPr>
        <w:t>1</w:t>
      </w:r>
      <w:r w:rsidR="001E6854">
        <w:rPr>
          <w:rFonts w:ascii="Arial" w:eastAsia="Batang" w:hAnsi="Arial" w:cs="Arial"/>
          <w:b/>
          <w:bCs/>
          <w:lang w:val="sv-SE" w:eastAsia="en-US"/>
        </w:rPr>
        <w:t>20</w:t>
      </w:r>
      <w:r w:rsidR="001B0200">
        <w:rPr>
          <w:rFonts w:ascii="Arial" w:eastAsia="Batang" w:hAnsi="Arial" w:cs="Arial"/>
          <w:b/>
          <w:bCs/>
          <w:lang w:val="sv-SE" w:eastAsia="en-US"/>
        </w:rPr>
        <w:t>bis</w:t>
      </w:r>
      <w:r w:rsidR="003A5380">
        <w:rPr>
          <w:rFonts w:ascii="Arial" w:eastAsia="Batang" w:hAnsi="Arial" w:cs="Arial"/>
          <w:b/>
          <w:bCs/>
          <w:lang w:val="sv-SE" w:eastAsia="en-US"/>
        </w:rPr>
        <w:t xml:space="preserve">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510934" w:rsidRPr="00510934">
        <w:rPr>
          <w:rFonts w:ascii="Arial" w:eastAsia="Batang" w:hAnsi="Arial" w:cs="Arial"/>
          <w:b/>
          <w:bCs/>
          <w:lang w:val="sv-SE" w:eastAsia="en-US"/>
        </w:rPr>
        <w:t>R1-</w:t>
      </w:r>
      <w:r w:rsidR="003A5380" w:rsidRPr="00510934">
        <w:rPr>
          <w:rFonts w:ascii="Arial" w:eastAsia="Batang" w:hAnsi="Arial" w:cs="Arial"/>
          <w:b/>
          <w:bCs/>
          <w:lang w:val="sv-SE" w:eastAsia="en-US"/>
        </w:rPr>
        <w:t>2</w:t>
      </w:r>
      <w:r w:rsidR="00823E3E">
        <w:rPr>
          <w:rFonts w:ascii="Arial" w:eastAsia="Batang" w:hAnsi="Arial" w:cs="Arial"/>
          <w:b/>
          <w:bCs/>
          <w:lang w:val="sv-SE" w:eastAsia="en-US"/>
        </w:rPr>
        <w:t>5</w:t>
      </w:r>
      <w:r w:rsidR="00D23EB3">
        <w:rPr>
          <w:rFonts w:ascii="Arial" w:eastAsia="Batang" w:hAnsi="Arial" w:cs="Arial"/>
          <w:b/>
          <w:bCs/>
          <w:lang w:val="sv-SE" w:eastAsia="en-US"/>
        </w:rPr>
        <w:t>02203</w:t>
      </w:r>
    </w:p>
    <w:p w14:paraId="3B3C4422" w14:textId="73ED0C96" w:rsidR="00FE20F3" w:rsidRDefault="008B3ED1" w:rsidP="00066AB9">
      <w:pPr>
        <w:snapToGrid w:val="0"/>
        <w:ind w:left="2386" w:hangingChars="993" w:hanging="2386"/>
        <w:jc w:val="both"/>
        <w:rPr>
          <w:rFonts w:ascii="Arial" w:eastAsia="Batang" w:hAnsi="Arial" w:cs="Arial"/>
          <w:b/>
          <w:bCs/>
          <w:lang w:val="sv-SE" w:eastAsia="en-US"/>
        </w:rPr>
      </w:pPr>
      <w:r w:rsidRPr="008B3ED1">
        <w:rPr>
          <w:rFonts w:ascii="Arial" w:eastAsia="Batang" w:hAnsi="Arial" w:cs="Arial"/>
          <w:b/>
          <w:bCs/>
          <w:lang w:val="sv-SE" w:eastAsia="en-US"/>
        </w:rPr>
        <w:t>Wuhan, China, April 7th – 11th, 2025</w:t>
      </w:r>
      <w:bookmarkStart w:id="0" w:name="Source"/>
      <w:bookmarkStart w:id="1" w:name="DocumentFor"/>
      <w:bookmarkEnd w:id="0"/>
      <w:bookmarkEnd w:id="1"/>
      <w:r w:rsidR="00FE20F3">
        <w:rPr>
          <w:rFonts w:ascii="Arial" w:eastAsia="Batang" w:hAnsi="Arial" w:cs="Arial"/>
          <w:b/>
          <w:bCs/>
          <w:lang w:val="sv-SE" w:eastAsia="en-US"/>
        </w:rPr>
        <w:tab/>
      </w:r>
    </w:p>
    <w:p w14:paraId="65558578" w14:textId="6BCB20CE"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w:t>
      </w:r>
      <w:r w:rsidR="00C47899">
        <w:rPr>
          <w:rFonts w:ascii="Arial" w:eastAsia="Batang" w:hAnsi="Arial" w:cs="Arial"/>
          <w:b/>
          <w:bCs/>
          <w:lang w:eastAsia="en-US"/>
        </w:rPr>
        <w:t>12.2</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65C6BC09"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FD7BA3">
        <w:rPr>
          <w:rFonts w:ascii="Arial" w:eastAsia="Batang" w:hAnsi="Arial" w:cs="Arial"/>
          <w:b/>
          <w:bCs/>
          <w:lang w:eastAsia="en-US"/>
        </w:rPr>
        <w:t>low band carrier aggregation via switching</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650707" w:rsidRDefault="00364697" w:rsidP="006512FD">
      <w:pPr>
        <w:pStyle w:val="Heading1"/>
        <w:spacing w:before="240" w:after="240"/>
        <w:ind w:left="578" w:hanging="578"/>
        <w:rPr>
          <w:lang w:eastAsia="zh-CN"/>
        </w:rPr>
      </w:pPr>
      <w:bookmarkStart w:id="2" w:name="_Ref124589705"/>
      <w:bookmarkStart w:id="3" w:name="_Ref129681862"/>
      <w:r w:rsidRPr="00650707">
        <w:rPr>
          <w:lang w:eastAsia="zh-CN"/>
        </w:rPr>
        <w:t>Introduction</w:t>
      </w:r>
      <w:bookmarkEnd w:id="2"/>
      <w:bookmarkEnd w:id="3"/>
    </w:p>
    <w:p w14:paraId="586F416C" w14:textId="055131BE" w:rsidR="000C3CF0" w:rsidRPr="00650707" w:rsidRDefault="00650707" w:rsidP="000C3CF0">
      <w:pPr>
        <w:spacing w:after="0" w:line="240" w:lineRule="auto"/>
        <w:rPr>
          <w:rFonts w:ascii="Times New Roman" w:eastAsia="SimSun" w:hAnsi="Times New Roman" w:cs="Times New Roman"/>
          <w:lang w:eastAsia="zh-CN"/>
        </w:rPr>
      </w:pPr>
      <w:r w:rsidRPr="00650707">
        <w:rPr>
          <w:rFonts w:ascii="Times New Roman" w:eastAsia="SimSun" w:hAnsi="Times New Roman" w:cs="Times New Roman"/>
          <w:lang w:eastAsia="zh-CN"/>
        </w:rPr>
        <w:t xml:space="preserve">In RAN#107, </w:t>
      </w:r>
      <w:r w:rsidR="00EB1D6F" w:rsidRPr="00650707">
        <w:rPr>
          <w:rFonts w:ascii="Times New Roman" w:eastAsia="SimSun" w:hAnsi="Times New Roman" w:cs="Times New Roman"/>
          <w:lang w:eastAsia="zh-CN"/>
        </w:rPr>
        <w:t xml:space="preserve">RP-250247 </w:t>
      </w:r>
      <w:r w:rsidR="00851B8E" w:rsidRPr="00650707">
        <w:rPr>
          <w:rFonts w:ascii="Times New Roman" w:eastAsia="SimSun" w:hAnsi="Times New Roman" w:cs="Times New Roman"/>
          <w:lang w:eastAsia="zh-CN"/>
        </w:rPr>
        <w:t xml:space="preserve">[1] </w:t>
      </w:r>
      <w:r w:rsidR="00470F25" w:rsidRPr="00650707">
        <w:rPr>
          <w:rFonts w:ascii="Times New Roman" w:eastAsia="SimSun" w:hAnsi="Times New Roman" w:cs="Times New Roman"/>
          <w:lang w:eastAsia="zh-CN"/>
        </w:rPr>
        <w:t xml:space="preserve">has been approved </w:t>
      </w:r>
      <w:r w:rsidR="00EB1D6F" w:rsidRPr="00650707">
        <w:rPr>
          <w:rFonts w:ascii="Times New Roman" w:eastAsia="SimSun" w:hAnsi="Times New Roman" w:cs="Times New Roman"/>
          <w:lang w:eastAsia="zh-CN"/>
        </w:rPr>
        <w:t>for detailed scope of the WI for low band carrier aggregation via switching</w:t>
      </w:r>
      <w:r w:rsidR="000C3CF0" w:rsidRPr="00650707">
        <w:rPr>
          <w:rFonts w:ascii="Times New Roman" w:eastAsia="SimSun" w:hAnsi="Times New Roman" w:cs="Times New Roman"/>
          <w:lang w:eastAsia="zh-CN"/>
        </w:rPr>
        <w:t>:</w:t>
      </w:r>
    </w:p>
    <w:p w14:paraId="4E07AD7D" w14:textId="77777777" w:rsidR="00470F25" w:rsidRPr="00650707" w:rsidRDefault="00470F25" w:rsidP="000C3CF0">
      <w:pPr>
        <w:spacing w:after="0" w:line="240" w:lineRule="auto"/>
        <w:rPr>
          <w:rFonts w:ascii="Times New Roman" w:eastAsia="SimSun" w:hAnsi="Times New Roman" w:cs="Times New Roman"/>
          <w:lang w:eastAsia="zh-CN"/>
        </w:rPr>
      </w:pPr>
    </w:p>
    <w:p w14:paraId="304F29CB" w14:textId="77777777" w:rsidR="00470F25" w:rsidRPr="00650707" w:rsidRDefault="00470F25" w:rsidP="00470F25">
      <w:pPr>
        <w:spacing w:after="0" w:line="276" w:lineRule="auto"/>
        <w:rPr>
          <w:rFonts w:ascii="Times New Roman" w:eastAsia="DengXian" w:hAnsi="Times New Roman" w:cs="Times New Roman"/>
          <w:bCs/>
          <w:kern w:val="2"/>
          <w14:ligatures w14:val="standardContextual"/>
        </w:rPr>
      </w:pPr>
      <w:r w:rsidRPr="00650707">
        <w:rPr>
          <w:rFonts w:ascii="Times New Roman" w:eastAsia="DengXian" w:hAnsi="Times New Roman" w:cs="Times New Roman"/>
          <w:bCs/>
          <w:kern w:val="2"/>
          <w14:ligatures w14:val="standardContextual"/>
        </w:rPr>
        <w:t>Introduce physical layer procedures and requirements to enable low band carrier aggregation via switching according to the following objectives:</w:t>
      </w:r>
    </w:p>
    <w:p w14:paraId="68031A40" w14:textId="77777777" w:rsidR="00470F25" w:rsidRPr="00650707" w:rsidRDefault="00470F25" w:rsidP="00470F25">
      <w:pPr>
        <w:spacing w:line="276" w:lineRule="auto"/>
        <w:ind w:left="568" w:hanging="284"/>
        <w:rPr>
          <w:rFonts w:ascii="Times New Roman" w:eastAsia="SimSun" w:hAnsi="Times New Roman" w:cs="Times New Roman"/>
          <w:kern w:val="2"/>
          <w:lang w:val="en-US"/>
          <w14:ligatures w14:val="standardContextual"/>
        </w:rPr>
      </w:pPr>
      <w:r w:rsidRPr="00650707">
        <w:rPr>
          <w:rFonts w:ascii="Times New Roman" w:eastAsia="SimSun" w:hAnsi="Times New Roman" w:cs="Times New Roman"/>
          <w:bCs/>
          <w:kern w:val="2"/>
          <w14:ligatures w14:val="standardContextual"/>
        </w:rPr>
        <w:t>-</w:t>
      </w:r>
      <w:r w:rsidRPr="00650707">
        <w:rPr>
          <w:rFonts w:ascii="Times New Roman" w:eastAsia="SimSun" w:hAnsi="Times New Roman" w:cs="Times New Roman"/>
          <w:bCs/>
          <w:kern w:val="2"/>
          <w14:ligatures w14:val="standardContextual"/>
        </w:rPr>
        <w:tab/>
      </w:r>
      <w:r w:rsidRPr="00650707">
        <w:rPr>
          <w:rFonts w:ascii="Times New Roman" w:eastAsia="SimSun" w:hAnsi="Times New Roman" w:cs="Times New Roman"/>
          <w:kern w:val="2"/>
          <w14:ligatures w14:val="standardContextual"/>
        </w:rPr>
        <w:t>Specify UE requirements, including at least switching gap (if needed), and corresponding physical layer procedures to allow switching between {case 1, case 2} [RAN4, RAN1]</w:t>
      </w:r>
    </w:p>
    <w:p w14:paraId="5A12F7FE"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Case 1: Tx/Rx on FDD carrier 1 and no Rx on SDL carrier 2</w:t>
      </w:r>
    </w:p>
    <w:p w14:paraId="24C0B6F3"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Case 2: Rx on SDL carrier 2 and no Tx/Rx on FDD carrier 1</w:t>
      </w:r>
    </w:p>
    <w:p w14:paraId="10373C6E"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RAN1 to specify only a semi-static switching pattern based on RRC configuration, liaising with RAN2 and RAN4 as necessary</w:t>
      </w:r>
    </w:p>
    <w:p w14:paraId="32160B9F"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Specify the switching delay and time mask for carrier switching [RAN4]</w:t>
      </w:r>
    </w:p>
    <w:p w14:paraId="12C8AD6E" w14:textId="77777777" w:rsidR="00470F25" w:rsidRPr="00650707" w:rsidRDefault="00470F25" w:rsidP="00470F25">
      <w:pPr>
        <w:spacing w:line="276" w:lineRule="auto"/>
        <w:ind w:left="568" w:hanging="284"/>
        <w:rPr>
          <w:rFonts w:ascii="Times New Roman" w:eastAsia="SimSun" w:hAnsi="Times New Roman" w:cs="Times New Roman"/>
          <w:kern w:val="2"/>
          <w14:ligatures w14:val="standardContextual"/>
        </w:rPr>
      </w:pPr>
      <w:r w:rsidRPr="00650707">
        <w:rPr>
          <w:rFonts w:ascii="Times New Roman" w:eastAsia="SimSun" w:hAnsi="Times New Roman" w:cs="Times New Roman"/>
          <w:kern w:val="2"/>
          <w14:ligatures w14:val="standardContextual"/>
        </w:rPr>
        <w:t>-</w:t>
      </w:r>
      <w:r w:rsidRPr="00650707">
        <w:rPr>
          <w:rFonts w:ascii="Times New Roman" w:eastAsia="SimSun" w:hAnsi="Times New Roman" w:cs="Times New Roman"/>
          <w:kern w:val="2"/>
          <w14:ligatures w14:val="standardContextual"/>
        </w:rPr>
        <w:tab/>
        <w:t>Specify necessary RRM requirements [RAN4]</w:t>
      </w:r>
    </w:p>
    <w:p w14:paraId="37B20032" w14:textId="77777777" w:rsidR="00470F25" w:rsidRPr="00650707" w:rsidRDefault="00470F25" w:rsidP="00470F25">
      <w:pPr>
        <w:spacing w:line="276" w:lineRule="auto"/>
        <w:ind w:left="568" w:hanging="284"/>
        <w:rPr>
          <w:rFonts w:ascii="Times New Roman" w:eastAsia="SimSun" w:hAnsi="Times New Roman" w:cs="Times New Roman"/>
          <w:kern w:val="2"/>
          <w14:ligatures w14:val="standardContextual"/>
        </w:rPr>
      </w:pPr>
      <w:r w:rsidRPr="00650707">
        <w:rPr>
          <w:rFonts w:ascii="Times New Roman" w:eastAsia="SimSun" w:hAnsi="Times New Roman" w:cs="Times New Roman"/>
          <w:kern w:val="2"/>
          <w14:ligatures w14:val="standardContextual"/>
        </w:rPr>
        <w:t>-</w:t>
      </w:r>
      <w:r w:rsidRPr="00650707">
        <w:rPr>
          <w:rFonts w:ascii="Times New Roman" w:eastAsia="SimSun" w:hAnsi="Times New Roman" w:cs="Times New Roman"/>
          <w:kern w:val="2"/>
          <w14:ligatures w14:val="standardContextual"/>
        </w:rPr>
        <w:tab/>
        <w:t>Define the corresponding UE capabilities [RAN4, RAN2, RAN1]</w:t>
      </w:r>
    </w:p>
    <w:p w14:paraId="42BE5096" w14:textId="77777777" w:rsidR="00470F25" w:rsidRPr="00650707" w:rsidRDefault="00470F25" w:rsidP="00470F25">
      <w:pPr>
        <w:spacing w:line="276" w:lineRule="auto"/>
        <w:ind w:left="568" w:hanging="284"/>
        <w:rPr>
          <w:rFonts w:ascii="Times New Roman" w:eastAsia="SimSun" w:hAnsi="Times New Roman" w:cs="Times New Roman"/>
          <w:kern w:val="2"/>
          <w14:ligatures w14:val="standardContextual"/>
        </w:rPr>
      </w:pPr>
      <w:r w:rsidRPr="00650707">
        <w:rPr>
          <w:rFonts w:ascii="Times New Roman" w:eastAsia="SimSun" w:hAnsi="Times New Roman" w:cs="Times New Roman"/>
          <w:kern w:val="2"/>
          <w14:ligatures w14:val="standardContextual"/>
        </w:rPr>
        <w:t>-</w:t>
      </w:r>
      <w:r w:rsidRPr="00650707">
        <w:rPr>
          <w:rFonts w:ascii="Times New Roman" w:eastAsia="SimSun" w:hAnsi="Times New Roman" w:cs="Times New Roman"/>
          <w:kern w:val="2"/>
          <w14:ligatures w14:val="standardContextual"/>
        </w:rPr>
        <w:tab/>
        <w:t>Consider the following deployment constraints:</w:t>
      </w:r>
    </w:p>
    <w:p w14:paraId="1A265CD7"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The carrier frequency for all cases is &lt;1 GHz</w:t>
      </w:r>
    </w:p>
    <w:p w14:paraId="4CC46F7C"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Co-located and synchronized network deployment for both carriers</w:t>
      </w:r>
    </w:p>
    <w:p w14:paraId="26F5B78C"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Both carriers are in a single TAG</w:t>
      </w:r>
    </w:p>
    <w:p w14:paraId="3B8F44FC" w14:textId="77777777" w:rsidR="00470F25" w:rsidRPr="00650707" w:rsidRDefault="00470F25" w:rsidP="00470F25">
      <w:pPr>
        <w:spacing w:line="276" w:lineRule="auto"/>
        <w:ind w:left="851" w:hanging="284"/>
        <w:rPr>
          <w:rFonts w:ascii="Times New Roman" w:eastAsia="DengXian" w:hAnsi="Times New Roman" w:cs="Times New Roman"/>
          <w:kern w:val="2"/>
          <w14:ligatures w14:val="standardContextual"/>
        </w:rPr>
      </w:pPr>
      <w:r w:rsidRPr="00650707">
        <w:rPr>
          <w:rFonts w:ascii="Times New Roman" w:eastAsia="DengXian" w:hAnsi="Times New Roman" w:cs="Times New Roman"/>
          <w:kern w:val="2"/>
          <w14:ligatures w14:val="standardContextual"/>
        </w:rPr>
        <w:t>-</w:t>
      </w:r>
      <w:r w:rsidRPr="00650707">
        <w:rPr>
          <w:rFonts w:ascii="Times New Roman" w:eastAsia="DengXian" w:hAnsi="Times New Roman" w:cs="Times New Roman"/>
          <w:kern w:val="2"/>
          <w14:ligatures w14:val="standardContextual"/>
        </w:rPr>
        <w:tab/>
        <w:t>SCS 15KHz on both carriers</w:t>
      </w:r>
    </w:p>
    <w:p w14:paraId="02564A32" w14:textId="77777777" w:rsidR="00470F25" w:rsidRPr="00650707" w:rsidRDefault="00470F25" w:rsidP="00470F25">
      <w:pPr>
        <w:spacing w:line="276" w:lineRule="auto"/>
        <w:ind w:left="568" w:hanging="284"/>
        <w:rPr>
          <w:rFonts w:ascii="Times New Roman" w:eastAsia="SimSun" w:hAnsi="Times New Roman" w:cs="Times New Roman"/>
          <w:kern w:val="2"/>
          <w14:ligatures w14:val="standardContextual"/>
        </w:rPr>
      </w:pPr>
      <w:r w:rsidRPr="00650707">
        <w:rPr>
          <w:rFonts w:ascii="Times New Roman" w:eastAsia="SimSun" w:hAnsi="Times New Roman" w:cs="Times New Roman"/>
          <w:kern w:val="2"/>
          <w14:ligatures w14:val="standardContextual"/>
        </w:rPr>
        <w:t>Note 1: Specify requirements for the feature with the following example band combination: CA_n5A-n29A in this WI, with additional band combinations to be handled via the basket work item approach</w:t>
      </w:r>
    </w:p>
    <w:p w14:paraId="2A52FD8F" w14:textId="77777777" w:rsidR="00470F25" w:rsidRPr="00650707" w:rsidRDefault="00470F25" w:rsidP="000C3CF0">
      <w:pPr>
        <w:spacing w:after="0" w:line="240" w:lineRule="auto"/>
        <w:rPr>
          <w:rFonts w:ascii="Times New Roman" w:eastAsia="Batang" w:hAnsi="Times New Roman" w:cs="Times New Roman"/>
          <w:sz w:val="20"/>
          <w:highlight w:val="green"/>
          <w:lang w:eastAsia="x-none"/>
        </w:rPr>
      </w:pPr>
    </w:p>
    <w:p w14:paraId="658D2439" w14:textId="52D561FE" w:rsidR="007E16AD" w:rsidRPr="00650707" w:rsidRDefault="00F458AB" w:rsidP="00A4259F">
      <w:pPr>
        <w:spacing w:before="240" w:after="240"/>
        <w:jc w:val="both"/>
        <w:rPr>
          <w:rFonts w:ascii="Times New Roman" w:eastAsia="SimSun" w:hAnsi="Times New Roman" w:cs="Times New Roman"/>
          <w:lang w:eastAsia="zh-CN"/>
        </w:rPr>
      </w:pPr>
      <w:r w:rsidRPr="00650707">
        <w:rPr>
          <w:rFonts w:ascii="Times New Roman" w:eastAsia="SimSun" w:hAnsi="Times New Roman" w:cs="Times New Roman"/>
          <w:lang w:eastAsia="zh-CN"/>
        </w:rPr>
        <w:lastRenderedPageBreak/>
        <w:t>In this contribution</w:t>
      </w:r>
      <w:r w:rsidR="001F4259" w:rsidRPr="00650707">
        <w:rPr>
          <w:rFonts w:ascii="Times New Roman" w:eastAsia="SimSun" w:hAnsi="Times New Roman" w:cs="Times New Roman"/>
          <w:lang w:eastAsia="zh-CN"/>
        </w:rPr>
        <w:t>,</w:t>
      </w:r>
      <w:r w:rsidRPr="00650707">
        <w:rPr>
          <w:rFonts w:ascii="Times New Roman" w:eastAsia="SimSun" w:hAnsi="Times New Roman" w:cs="Times New Roman"/>
          <w:lang w:eastAsia="zh-CN"/>
        </w:rPr>
        <w:t xml:space="preserve"> we discuss </w:t>
      </w:r>
      <w:r w:rsidR="00A320A8" w:rsidRPr="00650707">
        <w:rPr>
          <w:rFonts w:ascii="Times New Roman" w:eastAsia="SimSun" w:hAnsi="Times New Roman" w:cs="Times New Roman"/>
          <w:lang w:eastAsia="zh-CN"/>
        </w:rPr>
        <w:t>our views on</w:t>
      </w:r>
      <w:r w:rsidRPr="00650707">
        <w:rPr>
          <w:rFonts w:ascii="Times New Roman" w:eastAsia="SimSun" w:hAnsi="Times New Roman" w:cs="Times New Roman"/>
          <w:lang w:eastAsia="zh-CN"/>
        </w:rPr>
        <w:t xml:space="preserve"> </w:t>
      </w:r>
      <w:r w:rsidR="00BB7810" w:rsidRPr="00650707">
        <w:rPr>
          <w:rFonts w:ascii="Times New Roman" w:eastAsia="SimSun" w:hAnsi="Times New Roman" w:cs="Times New Roman"/>
          <w:lang w:eastAsia="zh-CN"/>
        </w:rPr>
        <w:t xml:space="preserve">the </w:t>
      </w:r>
      <w:r w:rsidR="001909E3" w:rsidRPr="00650707">
        <w:rPr>
          <w:rFonts w:ascii="Times New Roman" w:eastAsia="SimSun" w:hAnsi="Times New Roman" w:cs="Times New Roman"/>
          <w:lang w:eastAsia="zh-CN"/>
        </w:rPr>
        <w:t>issue</w:t>
      </w:r>
      <w:r w:rsidR="00BB7810" w:rsidRPr="00650707">
        <w:rPr>
          <w:rFonts w:ascii="Times New Roman" w:eastAsia="SimSun" w:hAnsi="Times New Roman" w:cs="Times New Roman"/>
          <w:lang w:eastAsia="zh-CN"/>
        </w:rPr>
        <w:t>s</w:t>
      </w:r>
      <w:r w:rsidR="008602F6" w:rsidRPr="00650707">
        <w:rPr>
          <w:rFonts w:ascii="Times New Roman" w:eastAsia="SimSun" w:hAnsi="Times New Roman" w:cs="Times New Roman"/>
          <w:lang w:eastAsia="zh-CN"/>
        </w:rPr>
        <w:t xml:space="preserve"> to support</w:t>
      </w:r>
      <w:r w:rsidR="0009086D" w:rsidRPr="00650707">
        <w:rPr>
          <w:rFonts w:ascii="Times New Roman" w:hAnsi="Times New Roman" w:cs="Times New Roman"/>
        </w:rPr>
        <w:t xml:space="preserve"> </w:t>
      </w:r>
      <w:r w:rsidR="009B0AB1" w:rsidRPr="00650707">
        <w:rPr>
          <w:rFonts w:ascii="Times New Roman" w:eastAsia="SimSun" w:hAnsi="Times New Roman" w:cs="Times New Roman"/>
          <w:lang w:eastAsia="zh-CN"/>
        </w:rPr>
        <w:t>low band carrier aggregation via switching</w:t>
      </w:r>
      <w:r w:rsidR="00AD3101" w:rsidRPr="00650707">
        <w:rPr>
          <w:rFonts w:ascii="Times New Roman" w:eastAsia="SimSun" w:hAnsi="Times New Roman" w:cs="Times New Roman"/>
          <w:lang w:eastAsia="zh-CN"/>
        </w:rPr>
        <w:t xml:space="preserve"> such as semi-static switching pattern and special slot configuration.</w:t>
      </w:r>
    </w:p>
    <w:p w14:paraId="12B88F8B" w14:textId="59D7474B" w:rsidR="00364697" w:rsidRPr="00650707" w:rsidRDefault="00364697" w:rsidP="006512FD">
      <w:pPr>
        <w:pStyle w:val="Heading1"/>
        <w:spacing w:before="240" w:after="240"/>
        <w:ind w:left="578" w:hanging="578"/>
        <w:rPr>
          <w:lang w:eastAsia="zh-CN"/>
        </w:rPr>
      </w:pPr>
      <w:bookmarkStart w:id="4" w:name="_Ref129681832"/>
      <w:r w:rsidRPr="00650707">
        <w:rPr>
          <w:lang w:eastAsia="zh-CN"/>
        </w:rPr>
        <w:t>Discussion</w:t>
      </w:r>
    </w:p>
    <w:p w14:paraId="3938F38F" w14:textId="75F67AE5" w:rsidR="009816B1" w:rsidRPr="00650707" w:rsidRDefault="001F5A5D" w:rsidP="00CC3E6F">
      <w:pPr>
        <w:pStyle w:val="Heading2"/>
        <w:numPr>
          <w:ilvl w:val="1"/>
          <w:numId w:val="22"/>
        </w:numPr>
        <w:rPr>
          <w:szCs w:val="24"/>
          <w:lang w:val="en-GB"/>
        </w:rPr>
      </w:pPr>
      <w:r w:rsidRPr="00650707">
        <w:rPr>
          <w:szCs w:val="24"/>
          <w:lang w:val="en-GB"/>
        </w:rPr>
        <w:t>Discussion on Semi-static switching pattern</w:t>
      </w:r>
    </w:p>
    <w:p w14:paraId="02FD55E7" w14:textId="651F7758"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 xml:space="preserve">Each UE may be configured with a semi-static switching pattern based on RRC configuration to allow switching between {case 1, case 2} </w:t>
      </w:r>
    </w:p>
    <w:p w14:paraId="4BD53923" w14:textId="77777777"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w:t>
      </w:r>
      <w:r w:rsidRPr="00650707">
        <w:rPr>
          <w:rFonts w:ascii="Times New Roman" w:hAnsi="Times New Roman" w:cs="Times New Roman"/>
          <w:lang w:eastAsia="en-US"/>
        </w:rPr>
        <w:tab/>
        <w:t>Case 1: Tx/Rx on FDD carrier 1 and no Rx on SDL carrier 2</w:t>
      </w:r>
    </w:p>
    <w:p w14:paraId="14A0B667" w14:textId="77777777" w:rsidR="00AC1C1F" w:rsidRPr="00650707" w:rsidRDefault="00AC1C1F" w:rsidP="00AC1C1F">
      <w:pPr>
        <w:rPr>
          <w:rFonts w:ascii="Times New Roman" w:hAnsi="Times New Roman" w:cs="Times New Roman"/>
          <w:lang w:eastAsia="en-US"/>
        </w:rPr>
      </w:pPr>
      <w:r w:rsidRPr="00650707">
        <w:rPr>
          <w:rFonts w:ascii="Times New Roman" w:hAnsi="Times New Roman" w:cs="Times New Roman"/>
          <w:lang w:eastAsia="en-US"/>
        </w:rPr>
        <w:t>•</w:t>
      </w:r>
      <w:r w:rsidRPr="00650707">
        <w:rPr>
          <w:rFonts w:ascii="Times New Roman" w:hAnsi="Times New Roman" w:cs="Times New Roman"/>
          <w:lang w:eastAsia="en-US"/>
        </w:rPr>
        <w:tab/>
        <w:t>Case 2: Rx on SDL carrier 2 and no Tx/Rx on FDD carrier 1</w:t>
      </w:r>
    </w:p>
    <w:p w14:paraId="086443BF" w14:textId="4B7DE4E8" w:rsidR="004A6D0E" w:rsidRPr="00650707" w:rsidRDefault="00AD3101" w:rsidP="006E0F10">
      <w:pPr>
        <w:jc w:val="both"/>
        <w:rPr>
          <w:rFonts w:ascii="Times New Roman" w:hAnsi="Times New Roman" w:cs="Times New Roman"/>
          <w:lang w:eastAsia="en-US"/>
        </w:rPr>
      </w:pPr>
      <w:r w:rsidRPr="00650707">
        <w:rPr>
          <w:rFonts w:ascii="Times New Roman" w:hAnsi="Times New Roman" w:cs="Times New Roman"/>
          <w:lang w:eastAsia="en-US"/>
        </w:rPr>
        <w:t xml:space="preserve">Each pattern </w:t>
      </w:r>
      <w:r w:rsidR="00AC1C1F" w:rsidRPr="00650707">
        <w:rPr>
          <w:rFonts w:ascii="Times New Roman" w:hAnsi="Times New Roman" w:cs="Times New Roman"/>
          <w:lang w:eastAsia="en-US"/>
        </w:rPr>
        <w:t>should be configured with</w:t>
      </w:r>
      <w:r w:rsidRPr="00650707">
        <w:rPr>
          <w:rFonts w:ascii="Times New Roman" w:hAnsi="Times New Roman" w:cs="Times New Roman"/>
          <w:lang w:eastAsia="en-US"/>
        </w:rPr>
        <w:t xml:space="preserve"> a ‘periodicity’ </w:t>
      </w:r>
      <w:r w:rsidR="00AC1C1F" w:rsidRPr="00650707">
        <w:rPr>
          <w:rFonts w:ascii="Times New Roman" w:hAnsi="Times New Roman" w:cs="Times New Roman"/>
          <w:lang w:eastAsia="en-US"/>
        </w:rPr>
        <w:t xml:space="preserve">at which the switching pattern is repeated. When a UE switches from Case 1 to Case 2, </w:t>
      </w:r>
      <w:r w:rsidR="002E6B95" w:rsidRPr="00650707">
        <w:rPr>
          <w:rFonts w:ascii="Times New Roman" w:hAnsi="Times New Roman" w:cs="Times New Roman"/>
          <w:lang w:eastAsia="en-US"/>
        </w:rPr>
        <w:t xml:space="preserve">or Case 2 to Case 1, a special slot is needed so that the switching gap is accommodated without affecting the slot </w:t>
      </w:r>
      <w:r w:rsidR="001C06B5" w:rsidRPr="00650707">
        <w:rPr>
          <w:rFonts w:ascii="Times New Roman" w:hAnsi="Times New Roman" w:cs="Times New Roman"/>
          <w:lang w:eastAsia="en-US"/>
        </w:rPr>
        <w:t>alignment</w:t>
      </w:r>
      <w:r w:rsidR="002E6B95" w:rsidRPr="00650707">
        <w:rPr>
          <w:rFonts w:ascii="Times New Roman" w:hAnsi="Times New Roman" w:cs="Times New Roman"/>
          <w:lang w:eastAsia="en-US"/>
        </w:rPr>
        <w:t xml:space="preserve"> of FDD carrier 1 and SDL carrier</w:t>
      </w:r>
      <w:r w:rsidR="00856B9F" w:rsidRPr="00650707">
        <w:rPr>
          <w:rFonts w:ascii="Times New Roman" w:hAnsi="Times New Roman" w:cs="Times New Roman"/>
          <w:lang w:eastAsia="en-US"/>
        </w:rPr>
        <w:t xml:space="preserve"> </w:t>
      </w:r>
      <w:r w:rsidR="002E6B95" w:rsidRPr="00650707">
        <w:rPr>
          <w:rFonts w:ascii="Times New Roman" w:hAnsi="Times New Roman" w:cs="Times New Roman"/>
          <w:lang w:eastAsia="en-US"/>
        </w:rPr>
        <w:t>2.</w:t>
      </w:r>
    </w:p>
    <w:p w14:paraId="0B93ED59" w14:textId="464482B9" w:rsidR="004A6D0E" w:rsidRPr="00650707" w:rsidRDefault="004A6D0E" w:rsidP="006E0F10">
      <w:pPr>
        <w:jc w:val="both"/>
        <w:rPr>
          <w:rFonts w:ascii="Times New Roman" w:hAnsi="Times New Roman" w:cs="Times New Roman"/>
          <w:lang w:eastAsia="en-US"/>
        </w:rPr>
      </w:pPr>
      <w:r w:rsidRPr="00650707">
        <w:rPr>
          <w:rFonts w:ascii="Times New Roman" w:hAnsi="Times New Roman" w:cs="Times New Roman"/>
          <w:lang w:eastAsia="en-US"/>
        </w:rPr>
        <w:t>A special switching slot configuration can have at the start of the slot, a number of gap symbols for FDD to SDL switching, followed by flexible symbols which can be used for SDL transmission</w:t>
      </w:r>
    </w:p>
    <w:p w14:paraId="70B37544" w14:textId="568A8B9E" w:rsidR="004A6D0E" w:rsidRPr="004A6D0E" w:rsidRDefault="004A6D0E" w:rsidP="006E0F10">
      <w:pPr>
        <w:jc w:val="both"/>
        <w:rPr>
          <w:rFonts w:ascii="Times New Roman" w:hAnsi="Times New Roman" w:cs="Times New Roman"/>
          <w:lang w:eastAsia="en-US"/>
        </w:rPr>
      </w:pPr>
      <w:r w:rsidRPr="00650707">
        <w:rPr>
          <w:rFonts w:ascii="Times New Roman" w:hAnsi="Times New Roman" w:cs="Times New Roman"/>
          <w:lang w:eastAsia="en-US"/>
        </w:rPr>
        <w:t xml:space="preserve">The </w:t>
      </w:r>
      <w:r w:rsidRPr="004A6D0E">
        <w:rPr>
          <w:rFonts w:ascii="Times New Roman" w:hAnsi="Times New Roman" w:cs="Times New Roman"/>
          <w:lang w:eastAsia="en-US"/>
        </w:rPr>
        <w:t xml:space="preserve">switching slot configuration can </w:t>
      </w:r>
      <w:r w:rsidRPr="00650707">
        <w:rPr>
          <w:rFonts w:ascii="Times New Roman" w:hAnsi="Times New Roman" w:cs="Times New Roman"/>
          <w:lang w:eastAsia="en-US"/>
        </w:rPr>
        <w:t xml:space="preserve">also </w:t>
      </w:r>
      <w:r w:rsidRPr="004A6D0E">
        <w:rPr>
          <w:rFonts w:ascii="Times New Roman" w:hAnsi="Times New Roman" w:cs="Times New Roman"/>
          <w:lang w:eastAsia="en-US"/>
        </w:rPr>
        <w:t>begin with a number of gap symbols for SDL to FDD switching, followed by flexible symbols which can be used for FDD transmission</w:t>
      </w:r>
      <w:r w:rsidRPr="00650707">
        <w:rPr>
          <w:rFonts w:ascii="Times New Roman" w:hAnsi="Times New Roman" w:cs="Times New Roman"/>
          <w:lang w:eastAsia="en-US"/>
        </w:rPr>
        <w:t xml:space="preserve">. </w:t>
      </w:r>
    </w:p>
    <w:p w14:paraId="2FA6A41F" w14:textId="58282AAB" w:rsidR="004A6D0E" w:rsidRPr="004A6D0E" w:rsidRDefault="004A6D0E" w:rsidP="006E0F10">
      <w:pPr>
        <w:jc w:val="both"/>
        <w:rPr>
          <w:rFonts w:ascii="Times New Roman" w:hAnsi="Times New Roman" w:cs="Times New Roman"/>
          <w:lang w:eastAsia="en-US"/>
        </w:rPr>
      </w:pPr>
      <w:r w:rsidRPr="00650707">
        <w:rPr>
          <w:rFonts w:ascii="Times New Roman" w:hAnsi="Times New Roman" w:cs="Times New Roman"/>
          <w:lang w:eastAsia="en-US"/>
        </w:rPr>
        <w:t>The switching gap can be determined by UE capability</w:t>
      </w:r>
      <w:r w:rsidR="006E0F10" w:rsidRPr="00650707">
        <w:rPr>
          <w:rFonts w:ascii="Times New Roman" w:hAnsi="Times New Roman" w:cs="Times New Roman"/>
          <w:lang w:eastAsia="en-US"/>
        </w:rPr>
        <w:t>. In addition to switching time, for switching from SDL to FDD, the gap would also need to consider TA value for FDD UL, depending on cell size or UE position</w:t>
      </w:r>
      <w:r w:rsidR="00856B9F" w:rsidRPr="00650707">
        <w:rPr>
          <w:rFonts w:ascii="Times New Roman" w:hAnsi="Times New Roman" w:cs="Times New Roman"/>
          <w:lang w:eastAsia="en-US"/>
        </w:rPr>
        <w:t>, as shown in figure below.</w:t>
      </w:r>
    </w:p>
    <w:p w14:paraId="49B16969" w14:textId="4ED7D0E4" w:rsidR="004A6D0E" w:rsidRPr="004A6D0E" w:rsidRDefault="00856B9F" w:rsidP="00856B9F">
      <w:pPr>
        <w:jc w:val="center"/>
        <w:rPr>
          <w:rFonts w:ascii="Times New Roman" w:hAnsi="Times New Roman" w:cs="Times New Roman"/>
          <w:lang w:eastAsia="en-US"/>
        </w:rPr>
      </w:pPr>
      <w:r w:rsidRPr="00650707">
        <w:rPr>
          <w:rFonts w:ascii="Times New Roman" w:eastAsia="SimSun" w:hAnsi="Times New Roman" w:cs="Times New Roman"/>
          <w:bCs/>
          <w:iCs/>
          <w:noProof/>
          <w:lang w:eastAsia="zh-CN"/>
        </w:rPr>
        <w:drawing>
          <wp:inline distT="0" distB="0" distL="0" distR="0" wp14:anchorId="48759C62" wp14:editId="1D8F2A5E">
            <wp:extent cx="4120515" cy="2088345"/>
            <wp:effectExtent l="0" t="0" r="0" b="0"/>
            <wp:docPr id="669857165"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57165" name="Picture 1" descr="A diagram of a computer&#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28869" cy="2092579"/>
                    </a:xfrm>
                    <a:prstGeom prst="rect">
                      <a:avLst/>
                    </a:prstGeom>
                    <a:noFill/>
                  </pic:spPr>
                </pic:pic>
              </a:graphicData>
            </a:graphic>
          </wp:inline>
        </w:drawing>
      </w:r>
    </w:p>
    <w:p w14:paraId="095AA14D" w14:textId="11E1B043" w:rsidR="00BF58FF" w:rsidRPr="00650707" w:rsidRDefault="00856B9F" w:rsidP="00856B9F">
      <w:pPr>
        <w:jc w:val="center"/>
        <w:rPr>
          <w:rFonts w:ascii="Times New Roman" w:eastAsia="Segoe UI" w:hAnsi="Times New Roman" w:cs="Times New Roman"/>
          <w:color w:val="262626"/>
          <w:position w:val="1"/>
        </w:rPr>
      </w:pPr>
      <w:r w:rsidRPr="00650707">
        <w:rPr>
          <w:rFonts w:ascii="Times New Roman" w:eastAsia="Segoe UI" w:hAnsi="Times New Roman" w:cs="Times New Roman"/>
          <w:color w:val="262626"/>
          <w:position w:val="1"/>
        </w:rPr>
        <w:t>Figure 1</w:t>
      </w:r>
      <w:r w:rsidR="005F6424" w:rsidRPr="00650707">
        <w:rPr>
          <w:rFonts w:ascii="Times New Roman" w:eastAsia="Segoe UI" w:hAnsi="Times New Roman" w:cs="Times New Roman"/>
          <w:color w:val="262626"/>
          <w:position w:val="1"/>
        </w:rPr>
        <w:t xml:space="preserve">  </w:t>
      </w:r>
      <w:r w:rsidRPr="00650707">
        <w:rPr>
          <w:rFonts w:ascii="Times New Roman" w:eastAsia="Segoe UI" w:hAnsi="Times New Roman" w:cs="Times New Roman"/>
          <w:color w:val="262626"/>
          <w:position w:val="1"/>
        </w:rPr>
        <w:t>S</w:t>
      </w:r>
      <w:r w:rsidR="00902D13" w:rsidRPr="00650707">
        <w:rPr>
          <w:rFonts w:ascii="Times New Roman" w:eastAsia="Segoe UI" w:hAnsi="Times New Roman" w:cs="Times New Roman"/>
          <w:color w:val="262626"/>
          <w:position w:val="1"/>
        </w:rPr>
        <w:t>DL and FDD switching gap</w:t>
      </w:r>
    </w:p>
    <w:p w14:paraId="4B9EA23D" w14:textId="77777777" w:rsidR="000817FC" w:rsidRPr="00650707" w:rsidRDefault="000817FC" w:rsidP="000817FC">
      <w:pPr>
        <w:pStyle w:val="Heading3"/>
        <w:rPr>
          <w:sz w:val="24"/>
          <w:szCs w:val="24"/>
        </w:rPr>
      </w:pPr>
      <w:r w:rsidRPr="00650707">
        <w:rPr>
          <w:sz w:val="24"/>
          <w:szCs w:val="24"/>
        </w:rPr>
        <w:t>Special Slot Configuration</w:t>
      </w:r>
    </w:p>
    <w:p w14:paraId="25DAF9D4" w14:textId="77777777" w:rsidR="000817FC" w:rsidRPr="00650707" w:rsidRDefault="000817FC" w:rsidP="000817FC">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t>The special switching slot configuration can be provided by fdd-SDL-ConfigurationDedicated, which provides slotSpecificConfigurations.</w:t>
      </w:r>
    </w:p>
    <w:p w14:paraId="0894DE89" w14:textId="11CF4117" w:rsidR="000817FC" w:rsidRPr="00650707" w:rsidRDefault="000817FC" w:rsidP="000817FC">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t xml:space="preserve">A special slot format </w:t>
      </w:r>
      <w:r w:rsidR="00902D13" w:rsidRPr="00650707">
        <w:rPr>
          <w:rFonts w:ascii="Times New Roman" w:eastAsia="SimSun" w:hAnsi="Times New Roman" w:cs="Times New Roman"/>
          <w:bCs/>
          <w:iCs/>
          <w:lang w:eastAsia="zh-CN"/>
        </w:rPr>
        <w:t>may be</w:t>
      </w:r>
      <w:r w:rsidRPr="00650707">
        <w:rPr>
          <w:rFonts w:ascii="Times New Roman" w:eastAsia="SimSun" w:hAnsi="Times New Roman" w:cs="Times New Roman"/>
          <w:bCs/>
          <w:iCs/>
          <w:lang w:eastAsia="zh-CN"/>
        </w:rPr>
        <w:t xml:space="preserve"> defined for SDL to FDD switching, including nrofSDLSymbols symbols, nrofFDDSymbols symbols, and flexible length of gap symbols. </w:t>
      </w:r>
    </w:p>
    <w:p w14:paraId="5229DC13" w14:textId="14483D2E" w:rsidR="000817FC" w:rsidRPr="00650707" w:rsidRDefault="000817FC" w:rsidP="000817FC">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lastRenderedPageBreak/>
        <w:t xml:space="preserve">As shown in figure 1, FDD UL may start after the gap for switching. For FDD DL, there is an extra gap due to TA. Gap between SDL and FDD symbols in special slot should include TA. The value of gap for TA can be cell specific. UE specific TA may be indicated via dedicated signaling. </w:t>
      </w:r>
    </w:p>
    <w:p w14:paraId="2AECA87C" w14:textId="77777777" w:rsidR="000817FC" w:rsidRPr="00650707" w:rsidRDefault="000817FC" w:rsidP="000817FC">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t>FDD-SDL-SlotConfig field descriptions</w:t>
      </w:r>
    </w:p>
    <w:p w14:paraId="54085FE2" w14:textId="77777777" w:rsidR="000817FC" w:rsidRPr="00650707" w:rsidRDefault="000817FC" w:rsidP="00902D13">
      <w:pPr>
        <w:pStyle w:val="ListParagraph"/>
        <w:numPr>
          <w:ilvl w:val="0"/>
          <w:numId w:val="30"/>
        </w:numPr>
        <w:spacing w:before="240" w:after="240"/>
        <w:rPr>
          <w:rFonts w:eastAsia="SimSun"/>
          <w:bCs/>
          <w:iCs/>
          <w:sz w:val="24"/>
          <w:szCs w:val="24"/>
          <w:lang w:eastAsia="zh-CN"/>
        </w:rPr>
      </w:pPr>
      <w:r w:rsidRPr="00650707">
        <w:rPr>
          <w:rFonts w:eastAsia="SimSun"/>
          <w:bCs/>
          <w:iCs/>
          <w:sz w:val="24"/>
          <w:szCs w:val="24"/>
          <w:lang w:eastAsia="zh-CN"/>
        </w:rPr>
        <w:t>nrofSDLSymbols (optional)</w:t>
      </w:r>
    </w:p>
    <w:p w14:paraId="60533BD7" w14:textId="77777777" w:rsidR="000817FC" w:rsidRPr="00650707" w:rsidRDefault="000817FC" w:rsidP="00902D13">
      <w:pPr>
        <w:pStyle w:val="ListParagraph"/>
        <w:spacing w:before="240" w:after="240"/>
        <w:rPr>
          <w:rFonts w:eastAsia="SimSun"/>
          <w:bCs/>
          <w:iCs/>
          <w:sz w:val="24"/>
          <w:szCs w:val="24"/>
          <w:lang w:eastAsia="zh-CN"/>
        </w:rPr>
      </w:pPr>
      <w:r w:rsidRPr="00650707">
        <w:rPr>
          <w:rFonts w:eastAsia="SimSun"/>
          <w:bCs/>
          <w:iCs/>
          <w:sz w:val="24"/>
          <w:szCs w:val="24"/>
          <w:lang w:eastAsia="zh-CN"/>
        </w:rPr>
        <w:t xml:space="preserve">Number of consecutive SDL symbols in the beginning of the slot identified by slotIndex. If the field is absent the UE assumes that there are no leading SDL symbols. </w:t>
      </w:r>
    </w:p>
    <w:p w14:paraId="742B7FAB" w14:textId="77777777" w:rsidR="000817FC" w:rsidRPr="00650707" w:rsidRDefault="000817FC" w:rsidP="00902D13">
      <w:pPr>
        <w:pStyle w:val="ListParagraph"/>
        <w:numPr>
          <w:ilvl w:val="0"/>
          <w:numId w:val="30"/>
        </w:numPr>
        <w:spacing w:before="240" w:after="240"/>
        <w:rPr>
          <w:rFonts w:eastAsia="SimSun"/>
          <w:bCs/>
          <w:iCs/>
          <w:sz w:val="24"/>
          <w:szCs w:val="24"/>
          <w:lang w:eastAsia="zh-CN"/>
        </w:rPr>
      </w:pPr>
      <w:r w:rsidRPr="00650707">
        <w:rPr>
          <w:rFonts w:eastAsia="SimSun"/>
          <w:bCs/>
          <w:iCs/>
          <w:sz w:val="24"/>
          <w:szCs w:val="24"/>
          <w:lang w:eastAsia="zh-CN"/>
        </w:rPr>
        <w:t>nrofFDDSymbols (optional)</w:t>
      </w:r>
    </w:p>
    <w:p w14:paraId="6A41DC7A" w14:textId="1D9CF485" w:rsidR="000817FC" w:rsidRPr="00650707" w:rsidRDefault="000817FC" w:rsidP="00902D13">
      <w:pPr>
        <w:pStyle w:val="ListParagraph"/>
        <w:spacing w:before="240" w:after="240"/>
        <w:rPr>
          <w:rFonts w:eastAsia="SimSun"/>
          <w:bCs/>
          <w:iCs/>
          <w:sz w:val="24"/>
          <w:szCs w:val="24"/>
          <w:lang w:eastAsia="zh-CN"/>
        </w:rPr>
      </w:pPr>
      <w:r w:rsidRPr="00650707">
        <w:rPr>
          <w:rFonts w:eastAsia="SimSun"/>
          <w:bCs/>
          <w:iCs/>
          <w:sz w:val="24"/>
          <w:szCs w:val="24"/>
          <w:lang w:eastAsia="zh-CN"/>
        </w:rPr>
        <w:t>Number of consecutive FDD symbols in the end of the slot identified by slotIndex. If the field is absent the UE assumes that there are no trailing FDD symbols.</w:t>
      </w:r>
    </w:p>
    <w:p w14:paraId="755F6BC0" w14:textId="77777777" w:rsidR="00BE7BB6" w:rsidRPr="00650707" w:rsidRDefault="00BE7BB6" w:rsidP="00902D13">
      <w:pPr>
        <w:pStyle w:val="ListParagraph"/>
        <w:spacing w:before="240" w:after="240"/>
        <w:rPr>
          <w:rFonts w:eastAsia="SimSun"/>
          <w:bCs/>
          <w:iCs/>
          <w:sz w:val="24"/>
          <w:szCs w:val="24"/>
          <w:lang w:eastAsia="zh-CN"/>
        </w:rPr>
      </w:pPr>
    </w:p>
    <w:p w14:paraId="4D082C43" w14:textId="7E28D3FF" w:rsidR="00BE7BB6" w:rsidRPr="00650707" w:rsidRDefault="00BE7BB6" w:rsidP="00BE7BB6">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1: Support</w:t>
      </w:r>
      <w:r w:rsidR="00A30460" w:rsidRPr="00650707">
        <w:rPr>
          <w:rFonts w:ascii="Times New Roman" w:eastAsia="SimSun" w:hAnsi="Times New Roman" w:cs="Times New Roman"/>
          <w:b/>
          <w:i/>
          <w:lang w:eastAsia="zh-CN"/>
        </w:rPr>
        <w:t xml:space="preserve"> special slot configuration </w:t>
      </w:r>
      <w:r w:rsidR="00E42860" w:rsidRPr="00650707">
        <w:rPr>
          <w:rFonts w:ascii="Times New Roman" w:eastAsia="SimSun" w:hAnsi="Times New Roman" w:cs="Times New Roman"/>
          <w:b/>
          <w:i/>
          <w:lang w:eastAsia="zh-CN"/>
        </w:rPr>
        <w:t>including</w:t>
      </w:r>
      <w:r w:rsidR="00E42860" w:rsidRPr="00650707">
        <w:rPr>
          <w:rFonts w:ascii="Times New Roman" w:hAnsi="Times New Roman" w:cs="Times New Roman"/>
        </w:rPr>
        <w:t xml:space="preserve"> </w:t>
      </w:r>
      <w:r w:rsidR="00E42860" w:rsidRPr="00650707">
        <w:rPr>
          <w:rFonts w:ascii="Times New Roman" w:eastAsia="SimSun" w:hAnsi="Times New Roman" w:cs="Times New Roman"/>
          <w:b/>
          <w:i/>
          <w:lang w:eastAsia="zh-CN"/>
        </w:rPr>
        <w:t>number of SDL symbols, number of FDD symbols and flexible number of gap symbols for FDD to SDL switching</w:t>
      </w:r>
      <w:r w:rsidRPr="00650707">
        <w:rPr>
          <w:rFonts w:ascii="Times New Roman" w:eastAsia="SimSun" w:hAnsi="Times New Roman" w:cs="Times New Roman"/>
          <w:b/>
          <w:i/>
          <w:lang w:eastAsia="zh-CN"/>
        </w:rPr>
        <w:t>.</w:t>
      </w:r>
    </w:p>
    <w:p w14:paraId="4D96D517" w14:textId="0CF671E0" w:rsidR="00BE7BB6" w:rsidRPr="00650707" w:rsidRDefault="00BE7BB6" w:rsidP="00BE7BB6">
      <w:pPr>
        <w:spacing w:before="240" w:after="240"/>
        <w:jc w:val="both"/>
        <w:rPr>
          <w:rFonts w:ascii="Times New Roman" w:eastAsia="SimSun" w:hAnsi="Times New Roman" w:cs="Times New Roman"/>
          <w:b/>
          <w:iCs/>
          <w:lang w:eastAsia="zh-CN"/>
        </w:rPr>
      </w:pPr>
      <w:r w:rsidRPr="00650707">
        <w:rPr>
          <w:rFonts w:ascii="Times New Roman" w:eastAsia="SimSun" w:hAnsi="Times New Roman" w:cs="Times New Roman"/>
          <w:b/>
          <w:i/>
          <w:lang w:eastAsia="zh-CN"/>
        </w:rPr>
        <w:t>Proposal 2: Support</w:t>
      </w:r>
      <w:r w:rsidR="00E42860" w:rsidRPr="00650707">
        <w:rPr>
          <w:rFonts w:ascii="Times New Roman" w:eastAsia="SimSun" w:hAnsi="Times New Roman" w:cs="Times New Roman"/>
          <w:b/>
          <w:i/>
          <w:lang w:eastAsia="zh-CN"/>
        </w:rPr>
        <w:t xml:space="preserve"> special slot configuration considering cell specific and UE specific TA values for SDL to FDD switching.</w:t>
      </w:r>
    </w:p>
    <w:p w14:paraId="4ECAB5EE" w14:textId="77777777" w:rsidR="00BE7BB6" w:rsidRPr="00650707" w:rsidRDefault="00BE7BB6" w:rsidP="00902D13">
      <w:pPr>
        <w:pStyle w:val="ListParagraph"/>
        <w:spacing w:before="240" w:after="240"/>
        <w:rPr>
          <w:sz w:val="24"/>
          <w:szCs w:val="24"/>
        </w:rPr>
      </w:pPr>
    </w:p>
    <w:p w14:paraId="4DF45C5E" w14:textId="6507E428" w:rsidR="00606034" w:rsidRPr="00650707" w:rsidRDefault="005F6424" w:rsidP="005F6424">
      <w:pPr>
        <w:pStyle w:val="Heading3"/>
        <w:spacing w:before="100" w:beforeAutospacing="1" w:after="100" w:afterAutospacing="1" w:line="360" w:lineRule="auto"/>
        <w:rPr>
          <w:sz w:val="24"/>
          <w:szCs w:val="24"/>
        </w:rPr>
      </w:pPr>
      <w:bookmarkStart w:id="5" w:name="_Hlk193967366"/>
      <w:bookmarkStart w:id="6" w:name="_Hlk158718102"/>
      <w:bookmarkStart w:id="7" w:name="_Hlk67056900"/>
      <w:r w:rsidRPr="00650707">
        <w:rPr>
          <w:sz w:val="24"/>
          <w:szCs w:val="24"/>
        </w:rPr>
        <w:t xml:space="preserve">Activation of semi-static </w:t>
      </w:r>
      <w:r w:rsidR="00AC1CDA" w:rsidRPr="00650707">
        <w:rPr>
          <w:sz w:val="24"/>
          <w:szCs w:val="24"/>
        </w:rPr>
        <w:t xml:space="preserve">FDD/SDL </w:t>
      </w:r>
      <w:r w:rsidRPr="00650707">
        <w:rPr>
          <w:sz w:val="24"/>
          <w:szCs w:val="24"/>
        </w:rPr>
        <w:t>switching</w:t>
      </w:r>
    </w:p>
    <w:bookmarkEnd w:id="5"/>
    <w:p w14:paraId="7953E353" w14:textId="22F2E882" w:rsidR="00AD6584" w:rsidRPr="00650707" w:rsidRDefault="00AC1CDA" w:rsidP="00AD6584">
      <w:pPr>
        <w:rPr>
          <w:rFonts w:ascii="Times New Roman" w:hAnsi="Times New Roman" w:cs="Times New Roman"/>
          <w:lang w:eastAsia="zh-CN"/>
        </w:rPr>
      </w:pPr>
      <w:r w:rsidRPr="00650707">
        <w:rPr>
          <w:rFonts w:ascii="Times New Roman" w:hAnsi="Times New Roman" w:cs="Times New Roman"/>
          <w:lang w:eastAsia="zh-CN"/>
        </w:rPr>
        <w:t>The se</w:t>
      </w:r>
      <w:r w:rsidR="00AD6584" w:rsidRPr="00650707">
        <w:rPr>
          <w:rFonts w:ascii="Times New Roman" w:hAnsi="Times New Roman" w:cs="Times New Roman"/>
          <w:lang w:eastAsia="zh-CN"/>
        </w:rPr>
        <w:t xml:space="preserve">mi-static switching pattern </w:t>
      </w:r>
      <w:r w:rsidRPr="00650707">
        <w:rPr>
          <w:rFonts w:ascii="Times New Roman" w:hAnsi="Times New Roman" w:cs="Times New Roman"/>
          <w:lang w:eastAsia="zh-CN"/>
        </w:rPr>
        <w:t xml:space="preserve">can be </w:t>
      </w:r>
      <w:r w:rsidR="00AD6584" w:rsidRPr="00650707">
        <w:rPr>
          <w:rFonts w:ascii="Times New Roman" w:hAnsi="Times New Roman" w:cs="Times New Roman"/>
          <w:lang w:eastAsia="zh-CN"/>
        </w:rPr>
        <w:t>is activated/deactivated upon RRC configuration</w:t>
      </w:r>
      <w:r w:rsidRPr="00650707">
        <w:rPr>
          <w:rFonts w:ascii="Times New Roman" w:hAnsi="Times New Roman" w:cs="Times New Roman"/>
          <w:lang w:eastAsia="zh-CN"/>
        </w:rPr>
        <w:t xml:space="preserve">. </w:t>
      </w:r>
      <w:r w:rsidR="00AD6584" w:rsidRPr="00650707">
        <w:rPr>
          <w:rFonts w:ascii="Times New Roman" w:hAnsi="Times New Roman" w:cs="Times New Roman"/>
          <w:lang w:eastAsia="zh-CN"/>
        </w:rPr>
        <w:t>NW sends RRCSetup or RRCReconfiguration</w:t>
      </w:r>
      <w:r w:rsidRPr="00650707">
        <w:rPr>
          <w:rFonts w:ascii="Times New Roman" w:hAnsi="Times New Roman" w:cs="Times New Roman"/>
          <w:lang w:eastAsia="zh-CN"/>
        </w:rPr>
        <w:t xml:space="preserve"> to </w:t>
      </w:r>
      <w:r w:rsidR="00AD6584" w:rsidRPr="00650707">
        <w:rPr>
          <w:rFonts w:ascii="Times New Roman" w:hAnsi="Times New Roman" w:cs="Times New Roman"/>
          <w:lang w:eastAsia="zh-CN"/>
        </w:rPr>
        <w:t>configur</w:t>
      </w:r>
      <w:r w:rsidRPr="00650707">
        <w:rPr>
          <w:rFonts w:ascii="Times New Roman" w:hAnsi="Times New Roman" w:cs="Times New Roman"/>
          <w:lang w:eastAsia="zh-CN"/>
        </w:rPr>
        <w:t>e</w:t>
      </w:r>
      <w:r w:rsidR="00AD6584" w:rsidRPr="00650707">
        <w:rPr>
          <w:rFonts w:ascii="Times New Roman" w:hAnsi="Times New Roman" w:cs="Times New Roman"/>
          <w:lang w:eastAsia="zh-CN"/>
        </w:rPr>
        <w:t xml:space="preserve"> all the parameters necessary for low band carrier switching pattern e.g. FDD-SDL-ConfigCommon information element</w:t>
      </w:r>
      <w:r w:rsidRPr="00650707">
        <w:rPr>
          <w:rFonts w:ascii="Times New Roman" w:hAnsi="Times New Roman" w:cs="Times New Roman"/>
          <w:lang w:eastAsia="zh-CN"/>
        </w:rPr>
        <w:t xml:space="preserve">. </w:t>
      </w:r>
      <w:r w:rsidR="00AD6584" w:rsidRPr="00650707">
        <w:rPr>
          <w:rFonts w:ascii="Times New Roman" w:hAnsi="Times New Roman" w:cs="Times New Roman"/>
          <w:lang w:eastAsia="zh-CN"/>
        </w:rPr>
        <w:t>If a UE is provided FDD-SDL-ConfigCommon, the UE sets the slot format per slot over a number of slots as indicated by FDD-SDL-ConfigCommon.</w:t>
      </w:r>
    </w:p>
    <w:p w14:paraId="6B3AD939" w14:textId="0C2BA565" w:rsidR="001C06B5" w:rsidRPr="00650707" w:rsidRDefault="004055A7" w:rsidP="001C06B5">
      <w:pPr>
        <w:spacing w:before="86" w:after="0" w:line="252" w:lineRule="auto"/>
        <w:textAlignment w:val="baseline"/>
        <w:rPr>
          <w:rFonts w:ascii="Times New Roman" w:eastAsia="Times New Roman" w:hAnsi="Times New Roman" w:cs="Times New Roman"/>
        </w:rPr>
      </w:pPr>
      <w:r w:rsidRPr="00650707">
        <w:rPr>
          <w:rFonts w:ascii="Times New Roman" w:eastAsia="DengXian" w:hAnsi="Times New Roman" w:cs="Times New Roman"/>
          <w:color w:val="000000"/>
        </w:rPr>
        <w:t xml:space="preserve">Another </w:t>
      </w:r>
      <w:r w:rsidR="005062AE" w:rsidRPr="00650707">
        <w:rPr>
          <w:rFonts w:ascii="Times New Roman" w:eastAsia="DengXian" w:hAnsi="Times New Roman" w:cs="Times New Roman"/>
          <w:color w:val="000000"/>
        </w:rPr>
        <w:t>method of configuration</w:t>
      </w:r>
      <w:r w:rsidRPr="00650707">
        <w:rPr>
          <w:rFonts w:ascii="Times New Roman" w:eastAsia="DengXian" w:hAnsi="Times New Roman" w:cs="Times New Roman"/>
          <w:color w:val="000000"/>
        </w:rPr>
        <w:t xml:space="preserve"> is that UE does not start the semi-static FDD/SDL switching upon RRC configuration. Instead,</w:t>
      </w:r>
      <w:r w:rsidRPr="00650707">
        <w:rPr>
          <w:rFonts w:ascii="Times New Roman" w:eastAsia="DengXian" w:hAnsi="Times New Roman" w:cs="Times New Roman"/>
          <w:b/>
          <w:bCs/>
          <w:color w:val="000000"/>
        </w:rPr>
        <w:t xml:space="preserve"> </w:t>
      </w:r>
      <w:r w:rsidR="004951B5" w:rsidRPr="00650707">
        <w:rPr>
          <w:rFonts w:ascii="Times New Roman" w:eastAsia="DengXian" w:hAnsi="Times New Roman" w:cs="Times New Roman"/>
          <w:color w:val="000000"/>
          <w:lang w:val="en-US"/>
        </w:rPr>
        <w:t xml:space="preserve">UEs </w:t>
      </w:r>
      <w:r w:rsidRPr="00650707">
        <w:rPr>
          <w:rFonts w:ascii="Times New Roman" w:eastAsia="DengXian" w:hAnsi="Times New Roman" w:cs="Times New Roman"/>
          <w:color w:val="000000"/>
          <w:lang w:val="en-US"/>
        </w:rPr>
        <w:t>follows a dynamic activation/deactivation indication. For example, a DCI is needed to trigger the activation/deactivation of the semi-static FDD/SDL carrier switching.</w:t>
      </w:r>
      <w:r w:rsidR="00C32024" w:rsidRPr="00650707">
        <w:t xml:space="preserve"> </w:t>
      </w:r>
      <w:r w:rsidR="00C32024" w:rsidRPr="00650707">
        <w:rPr>
          <w:rFonts w:ascii="Times New Roman" w:eastAsia="DengXian" w:hAnsi="Times New Roman" w:cs="Times New Roman"/>
          <w:color w:val="000000"/>
          <w:lang w:val="en-US"/>
        </w:rPr>
        <w:t xml:space="preserve">Dynamic scheduling offers the support of TTI level switching between FDD and SDL. </w:t>
      </w:r>
    </w:p>
    <w:p w14:paraId="5B93740F" w14:textId="67D469CE" w:rsidR="005062AE" w:rsidRPr="00650707" w:rsidRDefault="005062AE" w:rsidP="005062A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3: Support activation of semi-static FDD/SDL switching pattern upon RRC configuration.</w:t>
      </w:r>
    </w:p>
    <w:p w14:paraId="42D85CE8" w14:textId="5AAB6134" w:rsidR="005062AE" w:rsidRPr="00650707" w:rsidRDefault="005062AE" w:rsidP="005062AE">
      <w:pPr>
        <w:spacing w:before="240" w:after="240"/>
        <w:jc w:val="both"/>
        <w:rPr>
          <w:rFonts w:ascii="Times New Roman Bold" w:eastAsia="SimSun" w:hAnsi="Times New Roman Bold" w:cs="Times New Roman"/>
          <w:b/>
          <w:i/>
          <w:lang w:eastAsia="zh-CN"/>
        </w:rPr>
      </w:pPr>
      <w:r w:rsidRPr="00650707">
        <w:rPr>
          <w:rFonts w:ascii="Times New Roman" w:eastAsia="SimSun" w:hAnsi="Times New Roman" w:cs="Times New Roman"/>
          <w:b/>
          <w:i/>
          <w:lang w:eastAsia="zh-CN"/>
        </w:rPr>
        <w:t>Proposal 4: Support</w:t>
      </w:r>
      <w:r w:rsidRPr="00650707">
        <w:rPr>
          <w:rFonts w:ascii="Times New Roman Bold" w:eastAsia="SimSun" w:hAnsi="Times New Roman Bold" w:cs="Times New Roman"/>
          <w:b/>
          <w:i/>
          <w:lang w:eastAsia="zh-CN"/>
        </w:rPr>
        <w:t xml:space="preserve"> dynamic activation of semi-static FDD/SDL switching pattern </w:t>
      </w:r>
      <w:r w:rsidR="00786F2A" w:rsidRPr="00650707">
        <w:rPr>
          <w:rFonts w:ascii="Times New Roman Bold" w:eastAsia="SimSun" w:hAnsi="Times New Roman Bold" w:cs="Times New Roman"/>
          <w:b/>
          <w:i/>
          <w:lang w:eastAsia="zh-CN"/>
        </w:rPr>
        <w:t xml:space="preserve">after </w:t>
      </w:r>
      <w:r w:rsidRPr="00650707">
        <w:rPr>
          <w:rFonts w:ascii="Times New Roman Bold" w:eastAsia="SimSun" w:hAnsi="Times New Roman Bold" w:cs="Times New Roman"/>
          <w:b/>
          <w:i/>
          <w:lang w:eastAsia="zh-CN"/>
        </w:rPr>
        <w:t>RRC configuration</w:t>
      </w:r>
      <w:r w:rsidR="00786F2A" w:rsidRPr="00650707">
        <w:rPr>
          <w:rFonts w:ascii="Times New Roman Bold" w:eastAsia="SimSun" w:hAnsi="Times New Roman Bold" w:cs="Times New Roman"/>
          <w:b/>
          <w:i/>
          <w:lang w:eastAsia="zh-CN"/>
        </w:rPr>
        <w:t>.</w:t>
      </w:r>
    </w:p>
    <w:p w14:paraId="46A0E92C" w14:textId="2508E0A7" w:rsidR="0017350E" w:rsidRPr="0017350E" w:rsidRDefault="00685F1A" w:rsidP="0017350E">
      <w:pPr>
        <w:spacing w:before="240" w:after="240"/>
        <w:jc w:val="both"/>
        <w:rPr>
          <w:rFonts w:ascii="Times New Roman" w:eastAsia="SimSun" w:hAnsi="Times New Roman" w:cs="Times New Roman"/>
          <w:bCs/>
          <w:iCs/>
          <w:lang w:eastAsia="zh-CN"/>
        </w:rPr>
      </w:pPr>
      <w:r w:rsidRPr="00650707">
        <w:rPr>
          <w:rFonts w:ascii="Times New Roman" w:eastAsia="SimSun" w:hAnsi="Times New Roman" w:cs="Times New Roman"/>
          <w:bCs/>
          <w:iCs/>
          <w:lang w:eastAsia="zh-CN"/>
        </w:rPr>
        <w:t xml:space="preserve">DCI may include an indicator to update to one of the Special Slot configurations.  </w:t>
      </w:r>
      <w:r w:rsidR="0017350E" w:rsidRPr="0017350E">
        <w:rPr>
          <w:rFonts w:ascii="Times New Roman" w:eastAsia="SimSun" w:hAnsi="Times New Roman" w:cs="Times New Roman"/>
          <w:bCs/>
          <w:iCs/>
          <w:lang w:eastAsia="zh-CN"/>
        </w:rPr>
        <w:t xml:space="preserve">DCI can </w:t>
      </w:r>
      <w:r w:rsidR="0017350E" w:rsidRPr="00650707">
        <w:rPr>
          <w:rFonts w:ascii="Times New Roman" w:eastAsia="SimSun" w:hAnsi="Times New Roman" w:cs="Times New Roman"/>
          <w:bCs/>
          <w:iCs/>
          <w:lang w:eastAsia="zh-CN"/>
        </w:rPr>
        <w:t xml:space="preserve">also </w:t>
      </w:r>
      <w:r w:rsidR="0017350E" w:rsidRPr="0017350E">
        <w:rPr>
          <w:rFonts w:ascii="Times New Roman" w:eastAsia="SimSun" w:hAnsi="Times New Roman" w:cs="Times New Roman"/>
          <w:bCs/>
          <w:iCs/>
          <w:lang w:eastAsia="zh-CN"/>
        </w:rPr>
        <w:t xml:space="preserve">support </w:t>
      </w:r>
      <w:r w:rsidRPr="00650707">
        <w:rPr>
          <w:rFonts w:ascii="Times New Roman" w:eastAsia="SimSun" w:hAnsi="Times New Roman" w:cs="Times New Roman"/>
          <w:bCs/>
          <w:iCs/>
          <w:lang w:eastAsia="zh-CN"/>
        </w:rPr>
        <w:t>cross</w:t>
      </w:r>
      <w:r w:rsidR="0017350E" w:rsidRPr="0017350E">
        <w:rPr>
          <w:rFonts w:ascii="Times New Roman" w:eastAsia="SimSun" w:hAnsi="Times New Roman" w:cs="Times New Roman"/>
          <w:bCs/>
          <w:iCs/>
          <w:lang w:eastAsia="zh-CN"/>
        </w:rPr>
        <w:t>-carrier scheduling</w:t>
      </w:r>
      <w:r w:rsidR="0017350E" w:rsidRPr="00650707">
        <w:rPr>
          <w:rFonts w:ascii="Times New Roman" w:eastAsia="SimSun" w:hAnsi="Times New Roman" w:cs="Times New Roman"/>
          <w:bCs/>
          <w:iCs/>
          <w:lang w:eastAsia="zh-CN"/>
        </w:rPr>
        <w:t>.</w:t>
      </w:r>
      <w:r w:rsidR="0017350E" w:rsidRPr="0017350E">
        <w:rPr>
          <w:rFonts w:ascii="Times New Roman" w:eastAsia="SimSun" w:hAnsi="Times New Roman" w:cs="Times New Roman"/>
          <w:bCs/>
          <w:iCs/>
          <w:lang w:eastAsia="zh-CN"/>
        </w:rPr>
        <w:t xml:space="preserve"> UE monitors the PCell on the FDD carrier for PDCCH DCI, which has scheduling information for both (FDD and SDL) bands with SDL carrier indication field (0,1), e.g. ‘1’ is used to indicate the scheduling information is for SDL carrier. </w:t>
      </w:r>
    </w:p>
    <w:p w14:paraId="6BA92AF6" w14:textId="520FF7CC" w:rsidR="0017350E" w:rsidRPr="0017350E" w:rsidRDefault="0017350E" w:rsidP="0017350E">
      <w:pPr>
        <w:spacing w:before="240" w:after="240"/>
        <w:jc w:val="both"/>
        <w:rPr>
          <w:rFonts w:ascii="Times New Roman" w:eastAsia="SimSun" w:hAnsi="Times New Roman" w:cs="Times New Roman"/>
          <w:bCs/>
          <w:iCs/>
          <w:lang w:eastAsia="zh-CN"/>
        </w:rPr>
      </w:pPr>
      <w:r w:rsidRPr="0017350E">
        <w:rPr>
          <w:rFonts w:ascii="Times New Roman" w:eastAsia="SimSun" w:hAnsi="Times New Roman" w:cs="Times New Roman"/>
          <w:bCs/>
          <w:iCs/>
          <w:lang w:eastAsia="zh-CN"/>
        </w:rPr>
        <w:t xml:space="preserve">DCI </w:t>
      </w:r>
      <w:r w:rsidR="00813756" w:rsidRPr="00650707">
        <w:rPr>
          <w:rFonts w:ascii="Times New Roman" w:eastAsia="SimSun" w:hAnsi="Times New Roman" w:cs="Times New Roman"/>
          <w:bCs/>
          <w:iCs/>
          <w:lang w:eastAsia="zh-CN"/>
        </w:rPr>
        <w:t>w</w:t>
      </w:r>
      <w:r w:rsidRPr="0017350E">
        <w:rPr>
          <w:rFonts w:ascii="Times New Roman" w:eastAsia="SimSun" w:hAnsi="Times New Roman" w:cs="Times New Roman"/>
          <w:bCs/>
          <w:iCs/>
          <w:lang w:eastAsia="zh-CN"/>
        </w:rPr>
        <w:t xml:space="preserve">hich schedules SDL carrier from FDD carrier </w:t>
      </w:r>
      <w:r w:rsidR="00813756" w:rsidRPr="00650707">
        <w:rPr>
          <w:rFonts w:ascii="Times New Roman" w:eastAsia="SimSun" w:hAnsi="Times New Roman" w:cs="Times New Roman"/>
          <w:bCs/>
          <w:iCs/>
          <w:lang w:eastAsia="zh-CN"/>
        </w:rPr>
        <w:t>may</w:t>
      </w:r>
      <w:r w:rsidRPr="0017350E">
        <w:rPr>
          <w:rFonts w:ascii="Times New Roman" w:eastAsia="SimSun" w:hAnsi="Times New Roman" w:cs="Times New Roman"/>
          <w:bCs/>
          <w:iCs/>
          <w:lang w:eastAsia="zh-CN"/>
        </w:rPr>
        <w:t xml:space="preserve"> support multi-slot </w:t>
      </w:r>
      <w:r w:rsidR="00813756" w:rsidRPr="00650707">
        <w:rPr>
          <w:rFonts w:ascii="Times New Roman" w:eastAsia="SimSun" w:hAnsi="Times New Roman" w:cs="Times New Roman"/>
          <w:bCs/>
          <w:iCs/>
          <w:lang w:eastAsia="zh-CN"/>
        </w:rPr>
        <w:t>and</w:t>
      </w:r>
      <w:r w:rsidRPr="0017350E">
        <w:rPr>
          <w:rFonts w:ascii="Times New Roman" w:eastAsia="SimSun" w:hAnsi="Times New Roman" w:cs="Times New Roman"/>
          <w:bCs/>
          <w:iCs/>
          <w:lang w:eastAsia="zh-CN"/>
        </w:rPr>
        <w:t xml:space="preserve"> multi-carrier scheduling simultaneously</w:t>
      </w:r>
      <w:r w:rsidR="00685F1A" w:rsidRPr="00650707">
        <w:rPr>
          <w:rFonts w:ascii="Times New Roman" w:eastAsia="SimSun" w:hAnsi="Times New Roman" w:cs="Times New Roman"/>
          <w:bCs/>
          <w:iCs/>
          <w:lang w:eastAsia="zh-CN"/>
        </w:rPr>
        <w:t>.</w:t>
      </w:r>
      <w:r w:rsidRPr="0017350E">
        <w:rPr>
          <w:rFonts w:ascii="Times New Roman" w:eastAsia="SimSun" w:hAnsi="Times New Roman" w:cs="Times New Roman"/>
          <w:bCs/>
          <w:iCs/>
          <w:lang w:eastAsia="zh-CN"/>
        </w:rPr>
        <w:t xml:space="preserve"> It is beneficial to apply </w:t>
      </w:r>
      <w:r w:rsidR="00685F1A" w:rsidRPr="00650707">
        <w:rPr>
          <w:rFonts w:ascii="Times New Roman" w:eastAsia="SimSun" w:hAnsi="Times New Roman" w:cs="Times New Roman"/>
          <w:bCs/>
          <w:iCs/>
          <w:lang w:eastAsia="zh-CN"/>
        </w:rPr>
        <w:t xml:space="preserve">common </w:t>
      </w:r>
      <w:r w:rsidRPr="0017350E">
        <w:rPr>
          <w:rFonts w:ascii="Times New Roman" w:eastAsia="SimSun" w:hAnsi="Times New Roman" w:cs="Times New Roman"/>
          <w:bCs/>
          <w:iCs/>
          <w:lang w:eastAsia="zh-CN"/>
        </w:rPr>
        <w:t>scheduling information</w:t>
      </w:r>
      <w:r w:rsidR="00685F1A" w:rsidRPr="00650707">
        <w:t xml:space="preserve"> </w:t>
      </w:r>
      <w:r w:rsidR="00685F1A" w:rsidRPr="00650707">
        <w:rPr>
          <w:rFonts w:ascii="Times New Roman" w:eastAsia="SimSun" w:hAnsi="Times New Roman" w:cs="Times New Roman"/>
          <w:bCs/>
          <w:iCs/>
          <w:lang w:eastAsia="zh-CN"/>
        </w:rPr>
        <w:t xml:space="preserve">which </w:t>
      </w:r>
      <w:r w:rsidR="00685F1A" w:rsidRPr="00650707">
        <w:rPr>
          <w:rFonts w:ascii="Times New Roman" w:eastAsia="SimSun" w:hAnsi="Times New Roman" w:cs="Times New Roman"/>
          <w:bCs/>
          <w:iCs/>
          <w:lang w:eastAsia="zh-CN"/>
        </w:rPr>
        <w:lastRenderedPageBreak/>
        <w:t>reduces the payload size.</w:t>
      </w:r>
      <w:r w:rsidRPr="0017350E">
        <w:rPr>
          <w:rFonts w:ascii="Times New Roman" w:eastAsia="SimSun" w:hAnsi="Times New Roman" w:cs="Times New Roman"/>
          <w:bCs/>
          <w:iCs/>
          <w:lang w:eastAsia="zh-CN"/>
        </w:rPr>
        <w:t xml:space="preserve">, e.g. common FDRA, MCS for all scheduled PDSCH on FDD cell and SDL cell per DCI. </w:t>
      </w:r>
    </w:p>
    <w:p w14:paraId="53E200B3" w14:textId="6C4CEEFE" w:rsidR="0017350E" w:rsidRPr="00650707" w:rsidRDefault="00685F1A" w:rsidP="0017350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 xml:space="preserve">Proposal 5: DCI may include an indicator to update to one of the Special Slot configurations.  </w:t>
      </w:r>
    </w:p>
    <w:p w14:paraId="0826A17F" w14:textId="726E9E96" w:rsidR="00685F1A" w:rsidRPr="0017350E" w:rsidRDefault="00685F1A" w:rsidP="0017350E">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6: DCI can support cross-carrier scheduling with SDL carrier indication.</w:t>
      </w:r>
    </w:p>
    <w:p w14:paraId="4505B2C4" w14:textId="1E371A8D" w:rsidR="00685F1A" w:rsidRPr="0017350E" w:rsidRDefault="00685F1A" w:rsidP="00685F1A">
      <w:pPr>
        <w:spacing w:before="240" w:after="240"/>
        <w:jc w:val="both"/>
        <w:rPr>
          <w:rFonts w:ascii="Times New Roman" w:eastAsia="SimSun" w:hAnsi="Times New Roman" w:cs="Times New Roman"/>
          <w:b/>
          <w:i/>
          <w:lang w:eastAsia="zh-CN"/>
        </w:rPr>
      </w:pPr>
      <w:r w:rsidRPr="00650707">
        <w:rPr>
          <w:rFonts w:ascii="Times New Roman" w:eastAsia="SimSun" w:hAnsi="Times New Roman" w:cs="Times New Roman"/>
          <w:b/>
          <w:i/>
          <w:lang w:eastAsia="zh-CN"/>
        </w:rPr>
        <w:t>Proposal 7: DCI which schedules SDL carrier from FDD carrier may support multi-slot and multi-carrier scheduling with common scheduling information.</w:t>
      </w:r>
    </w:p>
    <w:p w14:paraId="526BA441" w14:textId="77777777" w:rsidR="001E7564" w:rsidRPr="008D3757" w:rsidRDefault="001E7564" w:rsidP="001E7564">
      <w:pPr>
        <w:spacing w:before="240" w:after="240"/>
        <w:jc w:val="center"/>
        <w:rPr>
          <w:rFonts w:ascii="Times New Roman" w:eastAsia="SimSun" w:hAnsi="Times New Roman" w:cs="Times New Roman"/>
          <w:bCs/>
          <w:iCs/>
          <w:sz w:val="22"/>
          <w:szCs w:val="22"/>
          <w:lang w:eastAsia="zh-CN"/>
        </w:rPr>
      </w:pPr>
      <w:bookmarkStart w:id="8" w:name="_Ref124589665"/>
      <w:bookmarkStart w:id="9" w:name="_Ref71620620"/>
      <w:bookmarkStart w:id="10" w:name="_Ref124671424"/>
      <w:bookmarkEnd w:id="6"/>
      <w:bookmarkEnd w:id="7"/>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00CE7ED2" w:rsidR="00364697" w:rsidRPr="00650707" w:rsidRDefault="00364697" w:rsidP="00A94799">
      <w:pPr>
        <w:spacing w:before="240" w:after="240"/>
        <w:jc w:val="both"/>
        <w:rPr>
          <w:rFonts w:ascii="Times New Roman" w:hAnsi="Times New Roman" w:cs="Times New Roman"/>
          <w:lang w:eastAsia="zh-CN"/>
        </w:rPr>
      </w:pPr>
      <w:r w:rsidRPr="00650707">
        <w:rPr>
          <w:rFonts w:ascii="Times New Roman" w:hAnsi="Times New Roman" w:cs="Times New Roman"/>
          <w:lang w:eastAsia="zh-CN"/>
        </w:rPr>
        <w:t xml:space="preserve">From the discussion, we </w:t>
      </w:r>
      <w:r w:rsidR="001F66C1" w:rsidRPr="00650707">
        <w:rPr>
          <w:rFonts w:ascii="Times New Roman" w:hAnsi="Times New Roman" w:cs="Times New Roman"/>
          <w:lang w:eastAsia="zh-CN"/>
        </w:rPr>
        <w:t xml:space="preserve">discussed the issues to support low band carrier aggregation via switching and </w:t>
      </w:r>
      <w:r w:rsidRPr="00650707">
        <w:rPr>
          <w:rFonts w:ascii="Times New Roman" w:hAnsi="Times New Roman" w:cs="Times New Roman"/>
          <w:lang w:eastAsia="zh-CN"/>
        </w:rPr>
        <w:t xml:space="preserve">have </w:t>
      </w:r>
      <w:r w:rsidR="00DC5333" w:rsidRPr="00650707">
        <w:rPr>
          <w:rFonts w:ascii="Times New Roman" w:hAnsi="Times New Roman" w:cs="Times New Roman"/>
          <w:lang w:eastAsia="zh-CN"/>
        </w:rPr>
        <w:t xml:space="preserve">the </w:t>
      </w:r>
      <w:r w:rsidRPr="00650707">
        <w:rPr>
          <w:rFonts w:ascii="Times New Roman" w:hAnsi="Times New Roman" w:cs="Times New Roman"/>
          <w:lang w:eastAsia="zh-CN"/>
        </w:rPr>
        <w:t>following proposals</w:t>
      </w:r>
      <w:r w:rsidR="005E7BB1" w:rsidRPr="00650707">
        <w:rPr>
          <w:rFonts w:ascii="Times New Roman" w:hAnsi="Times New Roman" w:cs="Times New Roman"/>
          <w:lang w:eastAsia="zh-CN"/>
        </w:rPr>
        <w:t>:</w:t>
      </w:r>
    </w:p>
    <w:bookmarkEnd w:id="4"/>
    <w:bookmarkEnd w:id="8"/>
    <w:bookmarkEnd w:id="9"/>
    <w:bookmarkEnd w:id="10"/>
    <w:p w14:paraId="643CBA49" w14:textId="77777777" w:rsidR="00C96E0C" w:rsidRDefault="00C96E0C" w:rsidP="00C96E0C">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1: Support special slot configuration including</w:t>
      </w:r>
      <w:r w:rsidRPr="00E42860">
        <w:t xml:space="preserve"> </w:t>
      </w:r>
      <w:r>
        <w:rPr>
          <w:rFonts w:ascii="Times New Roman" w:eastAsia="SimSun" w:hAnsi="Times New Roman" w:cs="Times New Roman"/>
          <w:b/>
          <w:i/>
          <w:sz w:val="22"/>
          <w:szCs w:val="22"/>
          <w:lang w:eastAsia="zh-CN"/>
        </w:rPr>
        <w:t>n</w:t>
      </w:r>
      <w:r w:rsidRPr="00E42860">
        <w:rPr>
          <w:rFonts w:ascii="Times New Roman" w:eastAsia="SimSun" w:hAnsi="Times New Roman" w:cs="Times New Roman"/>
          <w:b/>
          <w:i/>
          <w:sz w:val="22"/>
          <w:szCs w:val="22"/>
          <w:lang w:eastAsia="zh-CN"/>
        </w:rPr>
        <w:t>umber of SDL symbols</w:t>
      </w:r>
      <w:r>
        <w:rPr>
          <w:rFonts w:ascii="Times New Roman" w:eastAsia="SimSun" w:hAnsi="Times New Roman" w:cs="Times New Roman"/>
          <w:b/>
          <w:i/>
          <w:sz w:val="22"/>
          <w:szCs w:val="22"/>
          <w:lang w:eastAsia="zh-CN"/>
        </w:rPr>
        <w:t xml:space="preserve">, </w:t>
      </w:r>
      <w:r w:rsidRPr="00E42860">
        <w:rPr>
          <w:rFonts w:ascii="Times New Roman" w:eastAsia="SimSun" w:hAnsi="Times New Roman" w:cs="Times New Roman"/>
          <w:b/>
          <w:i/>
          <w:sz w:val="22"/>
          <w:szCs w:val="22"/>
          <w:lang w:eastAsia="zh-CN"/>
        </w:rPr>
        <w:t xml:space="preserve">number of </w:t>
      </w:r>
      <w:r>
        <w:rPr>
          <w:rFonts w:ascii="Times New Roman" w:eastAsia="SimSun" w:hAnsi="Times New Roman" w:cs="Times New Roman"/>
          <w:b/>
          <w:i/>
          <w:sz w:val="22"/>
          <w:szCs w:val="22"/>
          <w:lang w:eastAsia="zh-CN"/>
        </w:rPr>
        <w:t>FDD</w:t>
      </w:r>
      <w:r w:rsidRPr="00E42860">
        <w:rPr>
          <w:rFonts w:ascii="Times New Roman" w:eastAsia="SimSun" w:hAnsi="Times New Roman" w:cs="Times New Roman"/>
          <w:b/>
          <w:i/>
          <w:sz w:val="22"/>
          <w:szCs w:val="22"/>
          <w:lang w:eastAsia="zh-CN"/>
        </w:rPr>
        <w:t xml:space="preserve"> symbols</w:t>
      </w:r>
      <w:r>
        <w:rPr>
          <w:rFonts w:ascii="Times New Roman" w:eastAsia="SimSun" w:hAnsi="Times New Roman" w:cs="Times New Roman"/>
          <w:b/>
          <w:i/>
          <w:sz w:val="22"/>
          <w:szCs w:val="22"/>
          <w:lang w:eastAsia="zh-CN"/>
        </w:rPr>
        <w:t xml:space="preserve"> and flexible number of gap symbols</w:t>
      </w:r>
      <w:r w:rsidRPr="00E42860">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for FDD to SDL switching.</w:t>
      </w:r>
    </w:p>
    <w:p w14:paraId="08C380B4" w14:textId="77777777" w:rsidR="00C96E0C" w:rsidRDefault="00C96E0C" w:rsidP="00C96E0C">
      <w:pPr>
        <w:spacing w:before="240" w:after="240"/>
        <w:jc w:val="both"/>
        <w:rPr>
          <w:rFonts w:ascii="Times New Roman Bold" w:eastAsia="SimSun" w:hAnsi="Times New Roman Bold" w:cs="Times New Roman"/>
          <w:b/>
          <w:i/>
          <w:sz w:val="22"/>
          <w:szCs w:val="22"/>
          <w:lang w:eastAsia="zh-CN"/>
        </w:rPr>
      </w:pPr>
      <w:r w:rsidRPr="00F924A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2</w:t>
      </w:r>
      <w:r w:rsidRPr="00F924A1">
        <w:rPr>
          <w:rFonts w:ascii="Times New Roman" w:eastAsia="SimSun" w:hAnsi="Times New Roman" w:cs="Times New Roman"/>
          <w:b/>
          <w:i/>
          <w:sz w:val="22"/>
          <w:szCs w:val="22"/>
          <w:lang w:eastAsia="zh-CN"/>
        </w:rPr>
        <w:t>: Support</w:t>
      </w:r>
      <w:r>
        <w:rPr>
          <w:rFonts w:ascii="Times New Roman Bold" w:eastAsia="SimSun" w:hAnsi="Times New Roman Bold" w:cs="Times New Roman"/>
          <w:b/>
          <w:i/>
          <w:sz w:val="22"/>
          <w:szCs w:val="22"/>
          <w:lang w:eastAsia="zh-CN"/>
        </w:rPr>
        <w:t xml:space="preserve"> </w:t>
      </w:r>
      <w:r w:rsidRPr="00E42860">
        <w:rPr>
          <w:rFonts w:ascii="Times New Roman Bold" w:eastAsia="SimSun" w:hAnsi="Times New Roman Bold" w:cs="Times New Roman"/>
          <w:b/>
          <w:i/>
          <w:sz w:val="22"/>
          <w:szCs w:val="22"/>
          <w:lang w:eastAsia="zh-CN"/>
        </w:rPr>
        <w:t xml:space="preserve">special slot configuration </w:t>
      </w:r>
      <w:r>
        <w:rPr>
          <w:rFonts w:ascii="Times New Roman Bold" w:eastAsia="SimSun" w:hAnsi="Times New Roman Bold" w:cs="Times New Roman"/>
          <w:b/>
          <w:i/>
          <w:sz w:val="22"/>
          <w:szCs w:val="22"/>
          <w:lang w:eastAsia="zh-CN"/>
        </w:rPr>
        <w:t xml:space="preserve">considering cell specific and UE specific TA values </w:t>
      </w:r>
      <w:r w:rsidRPr="00E42860">
        <w:rPr>
          <w:rFonts w:ascii="Times New Roman Bold" w:eastAsia="SimSun" w:hAnsi="Times New Roman Bold" w:cs="Times New Roman"/>
          <w:b/>
          <w:i/>
          <w:sz w:val="22"/>
          <w:szCs w:val="22"/>
          <w:lang w:eastAsia="zh-CN"/>
        </w:rPr>
        <w:t xml:space="preserve">for </w:t>
      </w:r>
      <w:r>
        <w:rPr>
          <w:rFonts w:ascii="Times New Roman Bold" w:eastAsia="SimSun" w:hAnsi="Times New Roman Bold" w:cs="Times New Roman"/>
          <w:b/>
          <w:i/>
          <w:sz w:val="22"/>
          <w:szCs w:val="22"/>
          <w:lang w:eastAsia="zh-CN"/>
        </w:rPr>
        <w:t>S</w:t>
      </w:r>
      <w:r w:rsidRPr="00E42860">
        <w:rPr>
          <w:rFonts w:ascii="Times New Roman Bold" w:eastAsia="SimSun" w:hAnsi="Times New Roman Bold" w:cs="Times New Roman"/>
          <w:b/>
          <w:i/>
          <w:sz w:val="22"/>
          <w:szCs w:val="22"/>
          <w:lang w:eastAsia="zh-CN"/>
        </w:rPr>
        <w:t>D</w:t>
      </w:r>
      <w:r>
        <w:rPr>
          <w:rFonts w:ascii="Times New Roman Bold" w:eastAsia="SimSun" w:hAnsi="Times New Roman Bold" w:cs="Times New Roman"/>
          <w:b/>
          <w:i/>
          <w:sz w:val="22"/>
          <w:szCs w:val="22"/>
          <w:lang w:eastAsia="zh-CN"/>
        </w:rPr>
        <w:t>L</w:t>
      </w:r>
      <w:r w:rsidRPr="00E42860">
        <w:rPr>
          <w:rFonts w:ascii="Times New Roman Bold" w:eastAsia="SimSun" w:hAnsi="Times New Roman Bold" w:cs="Times New Roman"/>
          <w:b/>
          <w:i/>
          <w:sz w:val="22"/>
          <w:szCs w:val="22"/>
          <w:lang w:eastAsia="zh-CN"/>
        </w:rPr>
        <w:t xml:space="preserve"> to </w:t>
      </w:r>
      <w:r>
        <w:rPr>
          <w:rFonts w:ascii="Times New Roman Bold" w:eastAsia="SimSun" w:hAnsi="Times New Roman Bold" w:cs="Times New Roman"/>
          <w:b/>
          <w:i/>
          <w:sz w:val="22"/>
          <w:szCs w:val="22"/>
          <w:lang w:eastAsia="zh-CN"/>
        </w:rPr>
        <w:t>FDD</w:t>
      </w:r>
      <w:r w:rsidRPr="00E42860">
        <w:rPr>
          <w:rFonts w:ascii="Times New Roman Bold" w:eastAsia="SimSun" w:hAnsi="Times New Roman Bold" w:cs="Times New Roman"/>
          <w:b/>
          <w:i/>
          <w:sz w:val="22"/>
          <w:szCs w:val="22"/>
          <w:lang w:eastAsia="zh-CN"/>
        </w:rPr>
        <w:t xml:space="preserve"> switching.</w:t>
      </w:r>
    </w:p>
    <w:p w14:paraId="5F28DC7F" w14:textId="77777777" w:rsidR="00C96E0C" w:rsidRDefault="00C96E0C" w:rsidP="00C96E0C">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3: Support a</w:t>
      </w:r>
      <w:r w:rsidRPr="005062AE">
        <w:rPr>
          <w:rFonts w:ascii="Times New Roman" w:eastAsia="SimSun" w:hAnsi="Times New Roman" w:cs="Times New Roman"/>
          <w:b/>
          <w:i/>
          <w:sz w:val="22"/>
          <w:szCs w:val="22"/>
          <w:lang w:eastAsia="zh-CN"/>
        </w:rPr>
        <w:t>ctivation of semi-static FDD/SDL switching</w:t>
      </w:r>
      <w:r>
        <w:rPr>
          <w:rFonts w:ascii="Times New Roman" w:eastAsia="SimSun" w:hAnsi="Times New Roman" w:cs="Times New Roman"/>
          <w:b/>
          <w:i/>
          <w:sz w:val="22"/>
          <w:szCs w:val="22"/>
          <w:lang w:eastAsia="zh-CN"/>
        </w:rPr>
        <w:t xml:space="preserve"> pattern upon RRC configuration.</w:t>
      </w:r>
    </w:p>
    <w:p w14:paraId="3D9FD3F8" w14:textId="77777777" w:rsidR="00C96E0C" w:rsidRPr="00F924A1" w:rsidRDefault="00C96E0C" w:rsidP="00C96E0C">
      <w:pPr>
        <w:spacing w:before="240" w:after="240"/>
        <w:jc w:val="both"/>
        <w:rPr>
          <w:rFonts w:ascii="Times New Roman Bold" w:eastAsia="SimSun" w:hAnsi="Times New Roman Bold" w:cs="Times New Roman"/>
          <w:b/>
          <w:iCs/>
          <w:sz w:val="22"/>
          <w:szCs w:val="22"/>
          <w:lang w:eastAsia="zh-CN"/>
        </w:rPr>
      </w:pPr>
      <w:r w:rsidRPr="00F924A1">
        <w:rPr>
          <w:rFonts w:ascii="Times New Roman" w:eastAsia="SimSun" w:hAnsi="Times New Roman" w:cs="Times New Roman"/>
          <w:b/>
          <w:i/>
          <w:sz w:val="22"/>
          <w:szCs w:val="22"/>
          <w:lang w:eastAsia="zh-CN"/>
        </w:rPr>
        <w:t>Proposal</w:t>
      </w:r>
      <w:r>
        <w:rPr>
          <w:rFonts w:ascii="Times New Roman" w:eastAsia="SimSun" w:hAnsi="Times New Roman" w:cs="Times New Roman"/>
          <w:b/>
          <w:i/>
          <w:sz w:val="22"/>
          <w:szCs w:val="22"/>
          <w:lang w:eastAsia="zh-CN"/>
        </w:rPr>
        <w:t xml:space="preserve"> 4</w:t>
      </w:r>
      <w:r w:rsidRPr="00F924A1">
        <w:rPr>
          <w:rFonts w:ascii="Times New Roman" w:eastAsia="SimSun" w:hAnsi="Times New Roman" w:cs="Times New Roman"/>
          <w:b/>
          <w:i/>
          <w:sz w:val="22"/>
          <w:szCs w:val="22"/>
          <w:lang w:eastAsia="zh-CN"/>
        </w:rPr>
        <w:t>: Support</w:t>
      </w:r>
      <w:r>
        <w:rPr>
          <w:rFonts w:ascii="Times New Roman Bold" w:eastAsia="SimSun" w:hAnsi="Times New Roman Bold" w:cs="Times New Roman"/>
          <w:b/>
          <w:i/>
          <w:sz w:val="22"/>
          <w:szCs w:val="22"/>
          <w:lang w:eastAsia="zh-CN"/>
        </w:rPr>
        <w:t xml:space="preserve"> dynamic </w:t>
      </w:r>
      <w:r w:rsidRPr="005062AE">
        <w:rPr>
          <w:rFonts w:ascii="Times New Roman Bold" w:eastAsia="SimSun" w:hAnsi="Times New Roman Bold" w:cs="Times New Roman"/>
          <w:b/>
          <w:i/>
          <w:sz w:val="22"/>
          <w:szCs w:val="22"/>
          <w:lang w:eastAsia="zh-CN"/>
        </w:rPr>
        <w:t xml:space="preserve">activation of semi-static FDD/SDL switching pattern </w:t>
      </w:r>
      <w:r>
        <w:rPr>
          <w:rFonts w:ascii="Times New Roman Bold" w:eastAsia="SimSun" w:hAnsi="Times New Roman Bold" w:cs="Times New Roman"/>
          <w:b/>
          <w:i/>
          <w:sz w:val="22"/>
          <w:szCs w:val="22"/>
          <w:lang w:eastAsia="zh-CN"/>
        </w:rPr>
        <w:t xml:space="preserve">after </w:t>
      </w:r>
      <w:r w:rsidRPr="005062AE">
        <w:rPr>
          <w:rFonts w:ascii="Times New Roman Bold" w:eastAsia="SimSun" w:hAnsi="Times New Roman Bold" w:cs="Times New Roman"/>
          <w:b/>
          <w:i/>
          <w:sz w:val="22"/>
          <w:szCs w:val="22"/>
          <w:lang w:eastAsia="zh-CN"/>
        </w:rPr>
        <w:t>RRC configuration</w:t>
      </w:r>
      <w:r>
        <w:rPr>
          <w:rFonts w:ascii="Times New Roman Bold" w:eastAsia="SimSun" w:hAnsi="Times New Roman Bold" w:cs="Times New Roman"/>
          <w:b/>
          <w:i/>
          <w:sz w:val="22"/>
          <w:szCs w:val="22"/>
          <w:lang w:eastAsia="zh-CN"/>
        </w:rPr>
        <w:t>.</w:t>
      </w:r>
    </w:p>
    <w:p w14:paraId="10F015D0" w14:textId="77777777" w:rsidR="007B0C80" w:rsidRPr="00685F1A"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 xml:space="preserve">Proposal 5: DCI may include an indicator to update to one of the Special Slot configurations.  </w:t>
      </w:r>
    </w:p>
    <w:p w14:paraId="6581782B" w14:textId="77777777" w:rsidR="007B0C80" w:rsidRPr="0017350E"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Proposal 6: DCI can support cross-carrier scheduling with SDL carrier indication.</w:t>
      </w:r>
    </w:p>
    <w:p w14:paraId="32EBFEE3" w14:textId="77777777" w:rsidR="007B0C80" w:rsidRPr="0017350E" w:rsidRDefault="007B0C80" w:rsidP="007B0C80">
      <w:pPr>
        <w:spacing w:before="240" w:after="240"/>
        <w:jc w:val="both"/>
        <w:rPr>
          <w:rFonts w:ascii="Times New Roman" w:eastAsia="SimSun" w:hAnsi="Times New Roman" w:cs="Times New Roman"/>
          <w:b/>
          <w:i/>
          <w:lang w:eastAsia="zh-CN"/>
        </w:rPr>
      </w:pPr>
      <w:r w:rsidRPr="00685F1A">
        <w:rPr>
          <w:rFonts w:ascii="Times New Roman" w:eastAsia="SimSun" w:hAnsi="Times New Roman" w:cs="Times New Roman"/>
          <w:b/>
          <w:i/>
          <w:lang w:eastAsia="zh-CN"/>
        </w:rPr>
        <w:t>Proposal 7: DCI which schedules SDL carrier from FDD carrier may support multi-slot and multi-carrier scheduling with common scheduling information.</w:t>
      </w:r>
    </w:p>
    <w:p w14:paraId="7D8E8247" w14:textId="77777777" w:rsidR="00C96E0C" w:rsidRPr="00F924A1" w:rsidRDefault="00C96E0C" w:rsidP="00C96E0C">
      <w:pPr>
        <w:spacing w:before="240" w:after="240"/>
        <w:jc w:val="both"/>
        <w:rPr>
          <w:rFonts w:ascii="Times New Roman Bold" w:eastAsia="SimSun" w:hAnsi="Times New Roman Bold" w:cs="Times New Roman"/>
          <w:b/>
          <w:iCs/>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76931FB6"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xml:space="preserve">] </w:t>
      </w:r>
      <w:r w:rsidR="00470F25" w:rsidRPr="00470F25">
        <w:rPr>
          <w:sz w:val="22"/>
          <w:szCs w:val="22"/>
        </w:rPr>
        <w:t>RP-250247</w:t>
      </w:r>
      <w:r w:rsidR="00D51CDD" w:rsidRPr="00D51CDD">
        <w:t xml:space="preserve"> </w:t>
      </w:r>
      <w:r w:rsidR="00D51CDD">
        <w:tab/>
      </w:r>
      <w:r w:rsidR="00D51CDD" w:rsidRPr="00D51CDD">
        <w:rPr>
          <w:sz w:val="22"/>
          <w:szCs w:val="22"/>
        </w:rPr>
        <w:t>Revised WID on Low NR band carrier aggregation via switching</w:t>
      </w:r>
      <w:r w:rsidR="002D4C09">
        <w:rPr>
          <w:sz w:val="22"/>
          <w:szCs w:val="22"/>
        </w:rPr>
        <w:t>, AT&amp;T</w:t>
      </w:r>
    </w:p>
    <w:p w14:paraId="680945E8" w14:textId="77777777" w:rsidR="00440253" w:rsidRPr="0094004F" w:rsidRDefault="00440253" w:rsidP="0021786D">
      <w:pPr>
        <w:pStyle w:val="BodyText"/>
        <w:rPr>
          <w:sz w:val="22"/>
          <w:szCs w:val="22"/>
        </w:rPr>
      </w:pP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ADBE2" w14:textId="77777777" w:rsidR="000E7C25" w:rsidRDefault="000E7C25" w:rsidP="00731E07">
      <w:r>
        <w:separator/>
      </w:r>
    </w:p>
  </w:endnote>
  <w:endnote w:type="continuationSeparator" w:id="0">
    <w:p w14:paraId="62C1073C" w14:textId="77777777" w:rsidR="000E7C25" w:rsidRDefault="000E7C25"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33F32" w14:textId="77777777" w:rsidR="000E7C25" w:rsidRDefault="000E7C25" w:rsidP="00731E07">
      <w:r>
        <w:separator/>
      </w:r>
    </w:p>
  </w:footnote>
  <w:footnote w:type="continuationSeparator" w:id="0">
    <w:p w14:paraId="4B043996" w14:textId="77777777" w:rsidR="000E7C25" w:rsidRDefault="000E7C25"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02AE3"/>
    <w:multiLevelType w:val="hybridMultilevel"/>
    <w:tmpl w:val="FAE6D2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5D37F0"/>
    <w:multiLevelType w:val="hybridMultilevel"/>
    <w:tmpl w:val="4F4EE94A"/>
    <w:lvl w:ilvl="0" w:tplc="3F8EAB12">
      <w:start w:val="1"/>
      <w:numFmt w:val="bullet"/>
      <w:lvlText w:val=""/>
      <w:lvlJc w:val="left"/>
      <w:pPr>
        <w:tabs>
          <w:tab w:val="num" w:pos="720"/>
        </w:tabs>
        <w:ind w:left="720" w:hanging="360"/>
      </w:pPr>
      <w:rPr>
        <w:rFonts w:ascii="Wingdings" w:hAnsi="Wingdings" w:hint="default"/>
      </w:rPr>
    </w:lvl>
    <w:lvl w:ilvl="1" w:tplc="86CEED30" w:tentative="1">
      <w:start w:val="1"/>
      <w:numFmt w:val="bullet"/>
      <w:lvlText w:val=""/>
      <w:lvlJc w:val="left"/>
      <w:pPr>
        <w:tabs>
          <w:tab w:val="num" w:pos="1440"/>
        </w:tabs>
        <w:ind w:left="1440" w:hanging="360"/>
      </w:pPr>
      <w:rPr>
        <w:rFonts w:ascii="Wingdings" w:hAnsi="Wingdings" w:hint="default"/>
      </w:rPr>
    </w:lvl>
    <w:lvl w:ilvl="2" w:tplc="E15289D6">
      <w:start w:val="1"/>
      <w:numFmt w:val="bullet"/>
      <w:lvlText w:val=""/>
      <w:lvlJc w:val="left"/>
      <w:pPr>
        <w:tabs>
          <w:tab w:val="num" w:pos="2160"/>
        </w:tabs>
        <w:ind w:left="2160" w:hanging="360"/>
      </w:pPr>
      <w:rPr>
        <w:rFonts w:ascii="Wingdings" w:hAnsi="Wingdings" w:hint="default"/>
      </w:rPr>
    </w:lvl>
    <w:lvl w:ilvl="3" w:tplc="3CF02F3E" w:tentative="1">
      <w:start w:val="1"/>
      <w:numFmt w:val="bullet"/>
      <w:lvlText w:val=""/>
      <w:lvlJc w:val="left"/>
      <w:pPr>
        <w:tabs>
          <w:tab w:val="num" w:pos="2880"/>
        </w:tabs>
        <w:ind w:left="2880" w:hanging="360"/>
      </w:pPr>
      <w:rPr>
        <w:rFonts w:ascii="Wingdings" w:hAnsi="Wingdings" w:hint="default"/>
      </w:rPr>
    </w:lvl>
    <w:lvl w:ilvl="4" w:tplc="ED86D638" w:tentative="1">
      <w:start w:val="1"/>
      <w:numFmt w:val="bullet"/>
      <w:lvlText w:val=""/>
      <w:lvlJc w:val="left"/>
      <w:pPr>
        <w:tabs>
          <w:tab w:val="num" w:pos="3600"/>
        </w:tabs>
        <w:ind w:left="3600" w:hanging="360"/>
      </w:pPr>
      <w:rPr>
        <w:rFonts w:ascii="Wingdings" w:hAnsi="Wingdings" w:hint="default"/>
      </w:rPr>
    </w:lvl>
    <w:lvl w:ilvl="5" w:tplc="DF7C46A4" w:tentative="1">
      <w:start w:val="1"/>
      <w:numFmt w:val="bullet"/>
      <w:lvlText w:val=""/>
      <w:lvlJc w:val="left"/>
      <w:pPr>
        <w:tabs>
          <w:tab w:val="num" w:pos="4320"/>
        </w:tabs>
        <w:ind w:left="4320" w:hanging="360"/>
      </w:pPr>
      <w:rPr>
        <w:rFonts w:ascii="Wingdings" w:hAnsi="Wingdings" w:hint="default"/>
      </w:rPr>
    </w:lvl>
    <w:lvl w:ilvl="6" w:tplc="63AE6E26" w:tentative="1">
      <w:start w:val="1"/>
      <w:numFmt w:val="bullet"/>
      <w:lvlText w:val=""/>
      <w:lvlJc w:val="left"/>
      <w:pPr>
        <w:tabs>
          <w:tab w:val="num" w:pos="5040"/>
        </w:tabs>
        <w:ind w:left="5040" w:hanging="360"/>
      </w:pPr>
      <w:rPr>
        <w:rFonts w:ascii="Wingdings" w:hAnsi="Wingdings" w:hint="default"/>
      </w:rPr>
    </w:lvl>
    <w:lvl w:ilvl="7" w:tplc="3FCC013A" w:tentative="1">
      <w:start w:val="1"/>
      <w:numFmt w:val="bullet"/>
      <w:lvlText w:val=""/>
      <w:lvlJc w:val="left"/>
      <w:pPr>
        <w:tabs>
          <w:tab w:val="num" w:pos="5760"/>
        </w:tabs>
        <w:ind w:left="5760" w:hanging="360"/>
      </w:pPr>
      <w:rPr>
        <w:rFonts w:ascii="Wingdings" w:hAnsi="Wingdings" w:hint="default"/>
      </w:rPr>
    </w:lvl>
    <w:lvl w:ilvl="8" w:tplc="54049A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C8216F"/>
    <w:multiLevelType w:val="hybridMultilevel"/>
    <w:tmpl w:val="AAFE44A2"/>
    <w:lvl w:ilvl="0" w:tplc="5AE6B188">
      <w:start w:val="1"/>
      <w:numFmt w:val="bullet"/>
      <w:lvlText w:val="•"/>
      <w:lvlJc w:val="left"/>
      <w:pPr>
        <w:tabs>
          <w:tab w:val="num" w:pos="720"/>
        </w:tabs>
        <w:ind w:left="720" w:hanging="360"/>
      </w:pPr>
      <w:rPr>
        <w:rFonts w:ascii="Arial" w:hAnsi="Arial" w:hint="default"/>
      </w:rPr>
    </w:lvl>
    <w:lvl w:ilvl="1" w:tplc="59A81B9A" w:tentative="1">
      <w:start w:val="1"/>
      <w:numFmt w:val="bullet"/>
      <w:lvlText w:val="•"/>
      <w:lvlJc w:val="left"/>
      <w:pPr>
        <w:tabs>
          <w:tab w:val="num" w:pos="1440"/>
        </w:tabs>
        <w:ind w:left="1440" w:hanging="360"/>
      </w:pPr>
      <w:rPr>
        <w:rFonts w:ascii="Arial" w:hAnsi="Arial" w:hint="default"/>
      </w:rPr>
    </w:lvl>
    <w:lvl w:ilvl="2" w:tplc="3B9A02EE" w:tentative="1">
      <w:start w:val="1"/>
      <w:numFmt w:val="bullet"/>
      <w:lvlText w:val="•"/>
      <w:lvlJc w:val="left"/>
      <w:pPr>
        <w:tabs>
          <w:tab w:val="num" w:pos="2160"/>
        </w:tabs>
        <w:ind w:left="2160" w:hanging="360"/>
      </w:pPr>
      <w:rPr>
        <w:rFonts w:ascii="Arial" w:hAnsi="Arial" w:hint="default"/>
      </w:rPr>
    </w:lvl>
    <w:lvl w:ilvl="3" w:tplc="E7288B30" w:tentative="1">
      <w:start w:val="1"/>
      <w:numFmt w:val="bullet"/>
      <w:lvlText w:val="•"/>
      <w:lvlJc w:val="left"/>
      <w:pPr>
        <w:tabs>
          <w:tab w:val="num" w:pos="2880"/>
        </w:tabs>
        <w:ind w:left="2880" w:hanging="360"/>
      </w:pPr>
      <w:rPr>
        <w:rFonts w:ascii="Arial" w:hAnsi="Arial" w:hint="default"/>
      </w:rPr>
    </w:lvl>
    <w:lvl w:ilvl="4" w:tplc="52BA01F6" w:tentative="1">
      <w:start w:val="1"/>
      <w:numFmt w:val="bullet"/>
      <w:lvlText w:val="•"/>
      <w:lvlJc w:val="left"/>
      <w:pPr>
        <w:tabs>
          <w:tab w:val="num" w:pos="3600"/>
        </w:tabs>
        <w:ind w:left="3600" w:hanging="360"/>
      </w:pPr>
      <w:rPr>
        <w:rFonts w:ascii="Arial" w:hAnsi="Arial" w:hint="default"/>
      </w:rPr>
    </w:lvl>
    <w:lvl w:ilvl="5" w:tplc="97761D58" w:tentative="1">
      <w:start w:val="1"/>
      <w:numFmt w:val="bullet"/>
      <w:lvlText w:val="•"/>
      <w:lvlJc w:val="left"/>
      <w:pPr>
        <w:tabs>
          <w:tab w:val="num" w:pos="4320"/>
        </w:tabs>
        <w:ind w:left="4320" w:hanging="360"/>
      </w:pPr>
      <w:rPr>
        <w:rFonts w:ascii="Arial" w:hAnsi="Arial" w:hint="default"/>
      </w:rPr>
    </w:lvl>
    <w:lvl w:ilvl="6" w:tplc="41220594" w:tentative="1">
      <w:start w:val="1"/>
      <w:numFmt w:val="bullet"/>
      <w:lvlText w:val="•"/>
      <w:lvlJc w:val="left"/>
      <w:pPr>
        <w:tabs>
          <w:tab w:val="num" w:pos="5040"/>
        </w:tabs>
        <w:ind w:left="5040" w:hanging="360"/>
      </w:pPr>
      <w:rPr>
        <w:rFonts w:ascii="Arial" w:hAnsi="Arial" w:hint="default"/>
      </w:rPr>
    </w:lvl>
    <w:lvl w:ilvl="7" w:tplc="71E0354C" w:tentative="1">
      <w:start w:val="1"/>
      <w:numFmt w:val="bullet"/>
      <w:lvlText w:val="•"/>
      <w:lvlJc w:val="left"/>
      <w:pPr>
        <w:tabs>
          <w:tab w:val="num" w:pos="5760"/>
        </w:tabs>
        <w:ind w:left="5760" w:hanging="360"/>
      </w:pPr>
      <w:rPr>
        <w:rFonts w:ascii="Arial" w:hAnsi="Arial" w:hint="default"/>
      </w:rPr>
    </w:lvl>
    <w:lvl w:ilvl="8" w:tplc="0206DA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F402B"/>
    <w:multiLevelType w:val="hybridMultilevel"/>
    <w:tmpl w:val="EDB60D54"/>
    <w:lvl w:ilvl="0" w:tplc="99C0ED88">
      <w:start w:val="1"/>
      <w:numFmt w:val="bullet"/>
      <w:lvlText w:val=""/>
      <w:lvlJc w:val="left"/>
      <w:pPr>
        <w:tabs>
          <w:tab w:val="num" w:pos="720"/>
        </w:tabs>
        <w:ind w:left="720" w:hanging="360"/>
      </w:pPr>
      <w:rPr>
        <w:rFonts w:ascii="Wingdings" w:hAnsi="Wingdings" w:hint="default"/>
      </w:rPr>
    </w:lvl>
    <w:lvl w:ilvl="1" w:tplc="2E2A7E9A" w:tentative="1">
      <w:start w:val="1"/>
      <w:numFmt w:val="bullet"/>
      <w:lvlText w:val=""/>
      <w:lvlJc w:val="left"/>
      <w:pPr>
        <w:tabs>
          <w:tab w:val="num" w:pos="1440"/>
        </w:tabs>
        <w:ind w:left="1440" w:hanging="360"/>
      </w:pPr>
      <w:rPr>
        <w:rFonts w:ascii="Wingdings" w:hAnsi="Wingdings" w:hint="default"/>
      </w:rPr>
    </w:lvl>
    <w:lvl w:ilvl="2" w:tplc="5164EF54" w:tentative="1">
      <w:start w:val="1"/>
      <w:numFmt w:val="bullet"/>
      <w:lvlText w:val=""/>
      <w:lvlJc w:val="left"/>
      <w:pPr>
        <w:tabs>
          <w:tab w:val="num" w:pos="2160"/>
        </w:tabs>
        <w:ind w:left="2160" w:hanging="360"/>
      </w:pPr>
      <w:rPr>
        <w:rFonts w:ascii="Wingdings" w:hAnsi="Wingdings" w:hint="default"/>
      </w:rPr>
    </w:lvl>
    <w:lvl w:ilvl="3" w:tplc="100E3874" w:tentative="1">
      <w:start w:val="1"/>
      <w:numFmt w:val="bullet"/>
      <w:lvlText w:val=""/>
      <w:lvlJc w:val="left"/>
      <w:pPr>
        <w:tabs>
          <w:tab w:val="num" w:pos="2880"/>
        </w:tabs>
        <w:ind w:left="2880" w:hanging="360"/>
      </w:pPr>
      <w:rPr>
        <w:rFonts w:ascii="Wingdings" w:hAnsi="Wingdings" w:hint="default"/>
      </w:rPr>
    </w:lvl>
    <w:lvl w:ilvl="4" w:tplc="481CF17E">
      <w:start w:val="1"/>
      <w:numFmt w:val="bullet"/>
      <w:lvlText w:val=""/>
      <w:lvlJc w:val="left"/>
      <w:pPr>
        <w:tabs>
          <w:tab w:val="num" w:pos="3600"/>
        </w:tabs>
        <w:ind w:left="3600" w:hanging="360"/>
      </w:pPr>
      <w:rPr>
        <w:rFonts w:ascii="Wingdings" w:hAnsi="Wingdings" w:hint="default"/>
      </w:rPr>
    </w:lvl>
    <w:lvl w:ilvl="5" w:tplc="07300E94" w:tentative="1">
      <w:start w:val="1"/>
      <w:numFmt w:val="bullet"/>
      <w:lvlText w:val=""/>
      <w:lvlJc w:val="left"/>
      <w:pPr>
        <w:tabs>
          <w:tab w:val="num" w:pos="4320"/>
        </w:tabs>
        <w:ind w:left="4320" w:hanging="360"/>
      </w:pPr>
      <w:rPr>
        <w:rFonts w:ascii="Wingdings" w:hAnsi="Wingdings" w:hint="default"/>
      </w:rPr>
    </w:lvl>
    <w:lvl w:ilvl="6" w:tplc="C15C887C" w:tentative="1">
      <w:start w:val="1"/>
      <w:numFmt w:val="bullet"/>
      <w:lvlText w:val=""/>
      <w:lvlJc w:val="left"/>
      <w:pPr>
        <w:tabs>
          <w:tab w:val="num" w:pos="5040"/>
        </w:tabs>
        <w:ind w:left="5040" w:hanging="360"/>
      </w:pPr>
      <w:rPr>
        <w:rFonts w:ascii="Wingdings" w:hAnsi="Wingdings" w:hint="default"/>
      </w:rPr>
    </w:lvl>
    <w:lvl w:ilvl="7" w:tplc="9134E50C" w:tentative="1">
      <w:start w:val="1"/>
      <w:numFmt w:val="bullet"/>
      <w:lvlText w:val=""/>
      <w:lvlJc w:val="left"/>
      <w:pPr>
        <w:tabs>
          <w:tab w:val="num" w:pos="5760"/>
        </w:tabs>
        <w:ind w:left="5760" w:hanging="360"/>
      </w:pPr>
      <w:rPr>
        <w:rFonts w:ascii="Wingdings" w:hAnsi="Wingdings" w:hint="default"/>
      </w:rPr>
    </w:lvl>
    <w:lvl w:ilvl="8" w:tplc="A5E4C1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E6062"/>
    <w:multiLevelType w:val="hybridMultilevel"/>
    <w:tmpl w:val="A0FC4E6C"/>
    <w:lvl w:ilvl="0" w:tplc="D4F44C40">
      <w:start w:val="1"/>
      <w:numFmt w:val="bullet"/>
      <w:lvlText w:val=""/>
      <w:lvlJc w:val="left"/>
      <w:pPr>
        <w:tabs>
          <w:tab w:val="num" w:pos="720"/>
        </w:tabs>
        <w:ind w:left="720" w:hanging="360"/>
      </w:pPr>
      <w:rPr>
        <w:rFonts w:ascii="Wingdings" w:hAnsi="Wingdings" w:hint="default"/>
      </w:rPr>
    </w:lvl>
    <w:lvl w:ilvl="1" w:tplc="92740ADE" w:tentative="1">
      <w:start w:val="1"/>
      <w:numFmt w:val="bullet"/>
      <w:lvlText w:val=""/>
      <w:lvlJc w:val="left"/>
      <w:pPr>
        <w:tabs>
          <w:tab w:val="num" w:pos="1440"/>
        </w:tabs>
        <w:ind w:left="1440" w:hanging="360"/>
      </w:pPr>
      <w:rPr>
        <w:rFonts w:ascii="Wingdings" w:hAnsi="Wingdings" w:hint="default"/>
      </w:rPr>
    </w:lvl>
    <w:lvl w:ilvl="2" w:tplc="638C60CC" w:tentative="1">
      <w:start w:val="1"/>
      <w:numFmt w:val="bullet"/>
      <w:lvlText w:val=""/>
      <w:lvlJc w:val="left"/>
      <w:pPr>
        <w:tabs>
          <w:tab w:val="num" w:pos="2160"/>
        </w:tabs>
        <w:ind w:left="2160" w:hanging="360"/>
      </w:pPr>
      <w:rPr>
        <w:rFonts w:ascii="Wingdings" w:hAnsi="Wingdings" w:hint="default"/>
      </w:rPr>
    </w:lvl>
    <w:lvl w:ilvl="3" w:tplc="0750FFF2" w:tentative="1">
      <w:start w:val="1"/>
      <w:numFmt w:val="bullet"/>
      <w:lvlText w:val=""/>
      <w:lvlJc w:val="left"/>
      <w:pPr>
        <w:tabs>
          <w:tab w:val="num" w:pos="2880"/>
        </w:tabs>
        <w:ind w:left="2880" w:hanging="360"/>
      </w:pPr>
      <w:rPr>
        <w:rFonts w:ascii="Wingdings" w:hAnsi="Wingdings" w:hint="default"/>
      </w:rPr>
    </w:lvl>
    <w:lvl w:ilvl="4" w:tplc="7A605500" w:tentative="1">
      <w:start w:val="1"/>
      <w:numFmt w:val="bullet"/>
      <w:lvlText w:val=""/>
      <w:lvlJc w:val="left"/>
      <w:pPr>
        <w:tabs>
          <w:tab w:val="num" w:pos="3600"/>
        </w:tabs>
        <w:ind w:left="3600" w:hanging="360"/>
      </w:pPr>
      <w:rPr>
        <w:rFonts w:ascii="Wingdings" w:hAnsi="Wingdings" w:hint="default"/>
      </w:rPr>
    </w:lvl>
    <w:lvl w:ilvl="5" w:tplc="60A64146" w:tentative="1">
      <w:start w:val="1"/>
      <w:numFmt w:val="bullet"/>
      <w:lvlText w:val=""/>
      <w:lvlJc w:val="left"/>
      <w:pPr>
        <w:tabs>
          <w:tab w:val="num" w:pos="4320"/>
        </w:tabs>
        <w:ind w:left="4320" w:hanging="360"/>
      </w:pPr>
      <w:rPr>
        <w:rFonts w:ascii="Wingdings" w:hAnsi="Wingdings" w:hint="default"/>
      </w:rPr>
    </w:lvl>
    <w:lvl w:ilvl="6" w:tplc="797AAB50" w:tentative="1">
      <w:start w:val="1"/>
      <w:numFmt w:val="bullet"/>
      <w:lvlText w:val=""/>
      <w:lvlJc w:val="left"/>
      <w:pPr>
        <w:tabs>
          <w:tab w:val="num" w:pos="5040"/>
        </w:tabs>
        <w:ind w:left="5040" w:hanging="360"/>
      </w:pPr>
      <w:rPr>
        <w:rFonts w:ascii="Wingdings" w:hAnsi="Wingdings" w:hint="default"/>
      </w:rPr>
    </w:lvl>
    <w:lvl w:ilvl="7" w:tplc="B50C3F94" w:tentative="1">
      <w:start w:val="1"/>
      <w:numFmt w:val="bullet"/>
      <w:lvlText w:val=""/>
      <w:lvlJc w:val="left"/>
      <w:pPr>
        <w:tabs>
          <w:tab w:val="num" w:pos="5760"/>
        </w:tabs>
        <w:ind w:left="5760" w:hanging="360"/>
      </w:pPr>
      <w:rPr>
        <w:rFonts w:ascii="Wingdings" w:hAnsi="Wingdings" w:hint="default"/>
      </w:rPr>
    </w:lvl>
    <w:lvl w:ilvl="8" w:tplc="6EFE684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FF40B7"/>
    <w:multiLevelType w:val="hybridMultilevel"/>
    <w:tmpl w:val="F7A64BBE"/>
    <w:lvl w:ilvl="0" w:tplc="24B6AED8">
      <w:start w:val="1"/>
      <w:numFmt w:val="bullet"/>
      <w:lvlText w:val="•"/>
      <w:lvlJc w:val="left"/>
      <w:pPr>
        <w:tabs>
          <w:tab w:val="num" w:pos="720"/>
        </w:tabs>
        <w:ind w:left="720" w:hanging="360"/>
      </w:pPr>
      <w:rPr>
        <w:rFonts w:ascii="Arial" w:hAnsi="Arial" w:hint="default"/>
      </w:rPr>
    </w:lvl>
    <w:lvl w:ilvl="1" w:tplc="0F348A68" w:tentative="1">
      <w:start w:val="1"/>
      <w:numFmt w:val="bullet"/>
      <w:lvlText w:val="•"/>
      <w:lvlJc w:val="left"/>
      <w:pPr>
        <w:tabs>
          <w:tab w:val="num" w:pos="1440"/>
        </w:tabs>
        <w:ind w:left="1440" w:hanging="360"/>
      </w:pPr>
      <w:rPr>
        <w:rFonts w:ascii="Arial" w:hAnsi="Arial" w:hint="default"/>
      </w:rPr>
    </w:lvl>
    <w:lvl w:ilvl="2" w:tplc="602AB0DE" w:tentative="1">
      <w:start w:val="1"/>
      <w:numFmt w:val="bullet"/>
      <w:lvlText w:val="•"/>
      <w:lvlJc w:val="left"/>
      <w:pPr>
        <w:tabs>
          <w:tab w:val="num" w:pos="2160"/>
        </w:tabs>
        <w:ind w:left="2160" w:hanging="360"/>
      </w:pPr>
      <w:rPr>
        <w:rFonts w:ascii="Arial" w:hAnsi="Arial" w:hint="default"/>
      </w:rPr>
    </w:lvl>
    <w:lvl w:ilvl="3" w:tplc="B4C20266" w:tentative="1">
      <w:start w:val="1"/>
      <w:numFmt w:val="bullet"/>
      <w:lvlText w:val="•"/>
      <w:lvlJc w:val="left"/>
      <w:pPr>
        <w:tabs>
          <w:tab w:val="num" w:pos="2880"/>
        </w:tabs>
        <w:ind w:left="2880" w:hanging="360"/>
      </w:pPr>
      <w:rPr>
        <w:rFonts w:ascii="Arial" w:hAnsi="Arial" w:hint="default"/>
      </w:rPr>
    </w:lvl>
    <w:lvl w:ilvl="4" w:tplc="3F30876A" w:tentative="1">
      <w:start w:val="1"/>
      <w:numFmt w:val="bullet"/>
      <w:lvlText w:val="•"/>
      <w:lvlJc w:val="left"/>
      <w:pPr>
        <w:tabs>
          <w:tab w:val="num" w:pos="3600"/>
        </w:tabs>
        <w:ind w:left="3600" w:hanging="360"/>
      </w:pPr>
      <w:rPr>
        <w:rFonts w:ascii="Arial" w:hAnsi="Arial" w:hint="default"/>
      </w:rPr>
    </w:lvl>
    <w:lvl w:ilvl="5" w:tplc="856CE66C" w:tentative="1">
      <w:start w:val="1"/>
      <w:numFmt w:val="bullet"/>
      <w:lvlText w:val="•"/>
      <w:lvlJc w:val="left"/>
      <w:pPr>
        <w:tabs>
          <w:tab w:val="num" w:pos="4320"/>
        </w:tabs>
        <w:ind w:left="4320" w:hanging="360"/>
      </w:pPr>
      <w:rPr>
        <w:rFonts w:ascii="Arial" w:hAnsi="Arial" w:hint="default"/>
      </w:rPr>
    </w:lvl>
    <w:lvl w:ilvl="6" w:tplc="7090ADC8" w:tentative="1">
      <w:start w:val="1"/>
      <w:numFmt w:val="bullet"/>
      <w:lvlText w:val="•"/>
      <w:lvlJc w:val="left"/>
      <w:pPr>
        <w:tabs>
          <w:tab w:val="num" w:pos="5040"/>
        </w:tabs>
        <w:ind w:left="5040" w:hanging="360"/>
      </w:pPr>
      <w:rPr>
        <w:rFonts w:ascii="Arial" w:hAnsi="Arial" w:hint="default"/>
      </w:rPr>
    </w:lvl>
    <w:lvl w:ilvl="7" w:tplc="52D63890" w:tentative="1">
      <w:start w:val="1"/>
      <w:numFmt w:val="bullet"/>
      <w:lvlText w:val="•"/>
      <w:lvlJc w:val="left"/>
      <w:pPr>
        <w:tabs>
          <w:tab w:val="num" w:pos="5760"/>
        </w:tabs>
        <w:ind w:left="5760" w:hanging="360"/>
      </w:pPr>
      <w:rPr>
        <w:rFonts w:ascii="Arial" w:hAnsi="Arial" w:hint="default"/>
      </w:rPr>
    </w:lvl>
    <w:lvl w:ilvl="8" w:tplc="4CC0B4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3544F"/>
    <w:multiLevelType w:val="hybridMultilevel"/>
    <w:tmpl w:val="34900478"/>
    <w:lvl w:ilvl="0" w:tplc="D8FE4446">
      <w:start w:val="1"/>
      <w:numFmt w:val="bullet"/>
      <w:lvlText w:val=""/>
      <w:lvlJc w:val="left"/>
      <w:pPr>
        <w:tabs>
          <w:tab w:val="num" w:pos="720"/>
        </w:tabs>
        <w:ind w:left="720" w:hanging="360"/>
      </w:pPr>
      <w:rPr>
        <w:rFonts w:ascii="Wingdings" w:hAnsi="Wingdings" w:hint="default"/>
      </w:rPr>
    </w:lvl>
    <w:lvl w:ilvl="1" w:tplc="B1989D08" w:tentative="1">
      <w:start w:val="1"/>
      <w:numFmt w:val="bullet"/>
      <w:lvlText w:val=""/>
      <w:lvlJc w:val="left"/>
      <w:pPr>
        <w:tabs>
          <w:tab w:val="num" w:pos="1440"/>
        </w:tabs>
        <w:ind w:left="1440" w:hanging="360"/>
      </w:pPr>
      <w:rPr>
        <w:rFonts w:ascii="Wingdings" w:hAnsi="Wingdings" w:hint="default"/>
      </w:rPr>
    </w:lvl>
    <w:lvl w:ilvl="2" w:tplc="B0A663B6" w:tentative="1">
      <w:start w:val="1"/>
      <w:numFmt w:val="bullet"/>
      <w:lvlText w:val=""/>
      <w:lvlJc w:val="left"/>
      <w:pPr>
        <w:tabs>
          <w:tab w:val="num" w:pos="2160"/>
        </w:tabs>
        <w:ind w:left="2160" w:hanging="360"/>
      </w:pPr>
      <w:rPr>
        <w:rFonts w:ascii="Wingdings" w:hAnsi="Wingdings" w:hint="default"/>
      </w:rPr>
    </w:lvl>
    <w:lvl w:ilvl="3" w:tplc="AB7A1CC8" w:tentative="1">
      <w:start w:val="1"/>
      <w:numFmt w:val="bullet"/>
      <w:lvlText w:val=""/>
      <w:lvlJc w:val="left"/>
      <w:pPr>
        <w:tabs>
          <w:tab w:val="num" w:pos="2880"/>
        </w:tabs>
        <w:ind w:left="2880" w:hanging="360"/>
      </w:pPr>
      <w:rPr>
        <w:rFonts w:ascii="Wingdings" w:hAnsi="Wingdings" w:hint="default"/>
      </w:rPr>
    </w:lvl>
    <w:lvl w:ilvl="4" w:tplc="9C620B5E">
      <w:start w:val="1"/>
      <w:numFmt w:val="bullet"/>
      <w:lvlText w:val=""/>
      <w:lvlJc w:val="left"/>
      <w:pPr>
        <w:tabs>
          <w:tab w:val="num" w:pos="3600"/>
        </w:tabs>
        <w:ind w:left="3600" w:hanging="360"/>
      </w:pPr>
      <w:rPr>
        <w:rFonts w:ascii="Wingdings" w:hAnsi="Wingdings" w:hint="default"/>
      </w:rPr>
    </w:lvl>
    <w:lvl w:ilvl="5" w:tplc="5F9AFB72" w:tentative="1">
      <w:start w:val="1"/>
      <w:numFmt w:val="bullet"/>
      <w:lvlText w:val=""/>
      <w:lvlJc w:val="left"/>
      <w:pPr>
        <w:tabs>
          <w:tab w:val="num" w:pos="4320"/>
        </w:tabs>
        <w:ind w:left="4320" w:hanging="360"/>
      </w:pPr>
      <w:rPr>
        <w:rFonts w:ascii="Wingdings" w:hAnsi="Wingdings" w:hint="default"/>
      </w:rPr>
    </w:lvl>
    <w:lvl w:ilvl="6" w:tplc="0888C13E" w:tentative="1">
      <w:start w:val="1"/>
      <w:numFmt w:val="bullet"/>
      <w:lvlText w:val=""/>
      <w:lvlJc w:val="left"/>
      <w:pPr>
        <w:tabs>
          <w:tab w:val="num" w:pos="5040"/>
        </w:tabs>
        <w:ind w:left="5040" w:hanging="360"/>
      </w:pPr>
      <w:rPr>
        <w:rFonts w:ascii="Wingdings" w:hAnsi="Wingdings" w:hint="default"/>
      </w:rPr>
    </w:lvl>
    <w:lvl w:ilvl="7" w:tplc="FCDC3C1E" w:tentative="1">
      <w:start w:val="1"/>
      <w:numFmt w:val="bullet"/>
      <w:lvlText w:val=""/>
      <w:lvlJc w:val="left"/>
      <w:pPr>
        <w:tabs>
          <w:tab w:val="num" w:pos="5760"/>
        </w:tabs>
        <w:ind w:left="5760" w:hanging="360"/>
      </w:pPr>
      <w:rPr>
        <w:rFonts w:ascii="Wingdings" w:hAnsi="Wingdings" w:hint="default"/>
      </w:rPr>
    </w:lvl>
    <w:lvl w:ilvl="8" w:tplc="DB644BF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857418"/>
    <w:multiLevelType w:val="hybridMultilevel"/>
    <w:tmpl w:val="95B02A2C"/>
    <w:lvl w:ilvl="0" w:tplc="C7581134">
      <w:start w:val="1"/>
      <w:numFmt w:val="bullet"/>
      <w:lvlText w:val=""/>
      <w:lvlJc w:val="left"/>
      <w:pPr>
        <w:ind w:left="1440" w:hanging="360"/>
      </w:pPr>
      <w:rPr>
        <w:rFonts w:ascii="Symbol" w:hAnsi="Symbol"/>
      </w:rPr>
    </w:lvl>
    <w:lvl w:ilvl="1" w:tplc="3558E308">
      <w:start w:val="1"/>
      <w:numFmt w:val="bullet"/>
      <w:lvlText w:val=""/>
      <w:lvlJc w:val="left"/>
      <w:pPr>
        <w:ind w:left="2160" w:hanging="360"/>
      </w:pPr>
      <w:rPr>
        <w:rFonts w:ascii="Symbol" w:hAnsi="Symbol"/>
      </w:rPr>
    </w:lvl>
    <w:lvl w:ilvl="2" w:tplc="00286172">
      <w:start w:val="1"/>
      <w:numFmt w:val="bullet"/>
      <w:lvlText w:val=""/>
      <w:lvlJc w:val="left"/>
      <w:pPr>
        <w:ind w:left="1440" w:hanging="360"/>
      </w:pPr>
      <w:rPr>
        <w:rFonts w:ascii="Symbol" w:hAnsi="Symbol"/>
      </w:rPr>
    </w:lvl>
    <w:lvl w:ilvl="3" w:tplc="B0A4FECC">
      <w:start w:val="1"/>
      <w:numFmt w:val="bullet"/>
      <w:lvlText w:val=""/>
      <w:lvlJc w:val="left"/>
      <w:pPr>
        <w:ind w:left="1440" w:hanging="360"/>
      </w:pPr>
      <w:rPr>
        <w:rFonts w:ascii="Symbol" w:hAnsi="Symbol"/>
      </w:rPr>
    </w:lvl>
    <w:lvl w:ilvl="4" w:tplc="8326AD10">
      <w:start w:val="1"/>
      <w:numFmt w:val="bullet"/>
      <w:lvlText w:val=""/>
      <w:lvlJc w:val="left"/>
      <w:pPr>
        <w:ind w:left="1440" w:hanging="360"/>
      </w:pPr>
      <w:rPr>
        <w:rFonts w:ascii="Symbol" w:hAnsi="Symbol"/>
      </w:rPr>
    </w:lvl>
    <w:lvl w:ilvl="5" w:tplc="C1CA1B24">
      <w:start w:val="1"/>
      <w:numFmt w:val="bullet"/>
      <w:lvlText w:val=""/>
      <w:lvlJc w:val="left"/>
      <w:pPr>
        <w:ind w:left="1440" w:hanging="360"/>
      </w:pPr>
      <w:rPr>
        <w:rFonts w:ascii="Symbol" w:hAnsi="Symbol"/>
      </w:rPr>
    </w:lvl>
    <w:lvl w:ilvl="6" w:tplc="90E6463E">
      <w:start w:val="1"/>
      <w:numFmt w:val="bullet"/>
      <w:lvlText w:val=""/>
      <w:lvlJc w:val="left"/>
      <w:pPr>
        <w:ind w:left="1440" w:hanging="360"/>
      </w:pPr>
      <w:rPr>
        <w:rFonts w:ascii="Symbol" w:hAnsi="Symbol"/>
      </w:rPr>
    </w:lvl>
    <w:lvl w:ilvl="7" w:tplc="07580AB8">
      <w:start w:val="1"/>
      <w:numFmt w:val="bullet"/>
      <w:lvlText w:val=""/>
      <w:lvlJc w:val="left"/>
      <w:pPr>
        <w:ind w:left="1440" w:hanging="360"/>
      </w:pPr>
      <w:rPr>
        <w:rFonts w:ascii="Symbol" w:hAnsi="Symbol"/>
      </w:rPr>
    </w:lvl>
    <w:lvl w:ilvl="8" w:tplc="7382D67E">
      <w:start w:val="1"/>
      <w:numFmt w:val="bullet"/>
      <w:lvlText w:val=""/>
      <w:lvlJc w:val="left"/>
      <w:pPr>
        <w:ind w:left="1440" w:hanging="360"/>
      </w:pPr>
      <w:rPr>
        <w:rFonts w:ascii="Symbol" w:hAnsi="Symbol"/>
      </w:r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C56A68"/>
    <w:multiLevelType w:val="hybridMultilevel"/>
    <w:tmpl w:val="DA3CC95A"/>
    <w:lvl w:ilvl="0" w:tplc="F51E4AB8">
      <w:start w:val="1"/>
      <w:numFmt w:val="bullet"/>
      <w:lvlText w:val=""/>
      <w:lvlJc w:val="left"/>
      <w:pPr>
        <w:tabs>
          <w:tab w:val="num" w:pos="720"/>
        </w:tabs>
        <w:ind w:left="720" w:hanging="360"/>
      </w:pPr>
      <w:rPr>
        <w:rFonts w:ascii="Wingdings" w:hAnsi="Wingdings" w:hint="default"/>
      </w:rPr>
    </w:lvl>
    <w:lvl w:ilvl="1" w:tplc="CBF0351E" w:tentative="1">
      <w:start w:val="1"/>
      <w:numFmt w:val="bullet"/>
      <w:lvlText w:val=""/>
      <w:lvlJc w:val="left"/>
      <w:pPr>
        <w:tabs>
          <w:tab w:val="num" w:pos="1440"/>
        </w:tabs>
        <w:ind w:left="1440" w:hanging="360"/>
      </w:pPr>
      <w:rPr>
        <w:rFonts w:ascii="Wingdings" w:hAnsi="Wingdings" w:hint="default"/>
      </w:rPr>
    </w:lvl>
    <w:lvl w:ilvl="2" w:tplc="4A1A2CEC" w:tentative="1">
      <w:start w:val="1"/>
      <w:numFmt w:val="bullet"/>
      <w:lvlText w:val=""/>
      <w:lvlJc w:val="left"/>
      <w:pPr>
        <w:tabs>
          <w:tab w:val="num" w:pos="2160"/>
        </w:tabs>
        <w:ind w:left="2160" w:hanging="360"/>
      </w:pPr>
      <w:rPr>
        <w:rFonts w:ascii="Wingdings" w:hAnsi="Wingdings" w:hint="default"/>
      </w:rPr>
    </w:lvl>
    <w:lvl w:ilvl="3" w:tplc="D94A6704" w:tentative="1">
      <w:start w:val="1"/>
      <w:numFmt w:val="bullet"/>
      <w:lvlText w:val=""/>
      <w:lvlJc w:val="left"/>
      <w:pPr>
        <w:tabs>
          <w:tab w:val="num" w:pos="2880"/>
        </w:tabs>
        <w:ind w:left="2880" w:hanging="360"/>
      </w:pPr>
      <w:rPr>
        <w:rFonts w:ascii="Wingdings" w:hAnsi="Wingdings" w:hint="default"/>
      </w:rPr>
    </w:lvl>
    <w:lvl w:ilvl="4" w:tplc="743ECE84" w:tentative="1">
      <w:start w:val="1"/>
      <w:numFmt w:val="bullet"/>
      <w:lvlText w:val=""/>
      <w:lvlJc w:val="left"/>
      <w:pPr>
        <w:tabs>
          <w:tab w:val="num" w:pos="3600"/>
        </w:tabs>
        <w:ind w:left="3600" w:hanging="360"/>
      </w:pPr>
      <w:rPr>
        <w:rFonts w:ascii="Wingdings" w:hAnsi="Wingdings" w:hint="default"/>
      </w:rPr>
    </w:lvl>
    <w:lvl w:ilvl="5" w:tplc="1AB6304E" w:tentative="1">
      <w:start w:val="1"/>
      <w:numFmt w:val="bullet"/>
      <w:lvlText w:val=""/>
      <w:lvlJc w:val="left"/>
      <w:pPr>
        <w:tabs>
          <w:tab w:val="num" w:pos="4320"/>
        </w:tabs>
        <w:ind w:left="4320" w:hanging="360"/>
      </w:pPr>
      <w:rPr>
        <w:rFonts w:ascii="Wingdings" w:hAnsi="Wingdings" w:hint="default"/>
      </w:rPr>
    </w:lvl>
    <w:lvl w:ilvl="6" w:tplc="A132868C" w:tentative="1">
      <w:start w:val="1"/>
      <w:numFmt w:val="bullet"/>
      <w:lvlText w:val=""/>
      <w:lvlJc w:val="left"/>
      <w:pPr>
        <w:tabs>
          <w:tab w:val="num" w:pos="5040"/>
        </w:tabs>
        <w:ind w:left="5040" w:hanging="360"/>
      </w:pPr>
      <w:rPr>
        <w:rFonts w:ascii="Wingdings" w:hAnsi="Wingdings" w:hint="default"/>
      </w:rPr>
    </w:lvl>
    <w:lvl w:ilvl="7" w:tplc="36D03CC8" w:tentative="1">
      <w:start w:val="1"/>
      <w:numFmt w:val="bullet"/>
      <w:lvlText w:val=""/>
      <w:lvlJc w:val="left"/>
      <w:pPr>
        <w:tabs>
          <w:tab w:val="num" w:pos="5760"/>
        </w:tabs>
        <w:ind w:left="5760" w:hanging="360"/>
      </w:pPr>
      <w:rPr>
        <w:rFonts w:ascii="Wingdings" w:hAnsi="Wingdings" w:hint="default"/>
      </w:rPr>
    </w:lvl>
    <w:lvl w:ilvl="8" w:tplc="2E34F9A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5475274">
    <w:abstractNumId w:val="15"/>
  </w:num>
  <w:num w:numId="2" w16cid:durableId="1084035428">
    <w:abstractNumId w:val="21"/>
  </w:num>
  <w:num w:numId="3" w16cid:durableId="1147088077">
    <w:abstractNumId w:val="17"/>
  </w:num>
  <w:num w:numId="4" w16cid:durableId="824274728">
    <w:abstractNumId w:val="13"/>
  </w:num>
  <w:num w:numId="5" w16cid:durableId="345134468">
    <w:abstractNumId w:val="6"/>
  </w:num>
  <w:num w:numId="6" w16cid:durableId="301544126">
    <w:abstractNumId w:val="25"/>
  </w:num>
  <w:num w:numId="7" w16cid:durableId="444538355">
    <w:abstractNumId w:val="16"/>
  </w:num>
  <w:num w:numId="8" w16cid:durableId="538972822">
    <w:abstractNumId w:val="19"/>
  </w:num>
  <w:num w:numId="9" w16cid:durableId="554390412">
    <w:abstractNumId w:val="28"/>
  </w:num>
  <w:num w:numId="10" w16cid:durableId="398599687">
    <w:abstractNumId w:val="11"/>
  </w:num>
  <w:num w:numId="11" w16cid:durableId="1014455258">
    <w:abstractNumId w:val="0"/>
  </w:num>
  <w:num w:numId="12" w16cid:durableId="2005081201">
    <w:abstractNumId w:val="5"/>
  </w:num>
  <w:num w:numId="13" w16cid:durableId="726883290">
    <w:abstractNumId w:val="24"/>
  </w:num>
  <w:num w:numId="14" w16cid:durableId="398747674">
    <w:abstractNumId w:val="3"/>
  </w:num>
  <w:num w:numId="15" w16cid:durableId="1921744515">
    <w:abstractNumId w:val="22"/>
  </w:num>
  <w:num w:numId="16" w16cid:durableId="1580287447">
    <w:abstractNumId w:val="26"/>
  </w:num>
  <w:num w:numId="17" w16cid:durableId="721249617">
    <w:abstractNumId w:val="14"/>
  </w:num>
  <w:num w:numId="18" w16cid:durableId="683629584">
    <w:abstractNumId w:val="4"/>
  </w:num>
  <w:num w:numId="19" w16cid:durableId="1526215846">
    <w:abstractNumId w:val="18"/>
  </w:num>
  <w:num w:numId="20" w16cid:durableId="1293944388">
    <w:abstractNumId w:val="1"/>
  </w:num>
  <w:num w:numId="21" w16cid:durableId="1687712277">
    <w:abstractNumId w:val="23"/>
  </w:num>
  <w:num w:numId="22" w16cid:durableId="389959543">
    <w:abstractNumId w:val="15"/>
    <w:lvlOverride w:ilvl="0">
      <w:startOverride w:val="2"/>
    </w:lvlOverride>
    <w:lvlOverride w:ilvl="1">
      <w:startOverride w:val="1"/>
    </w:lvlOverride>
  </w:num>
  <w:num w:numId="23" w16cid:durableId="1648394210">
    <w:abstractNumId w:val="10"/>
  </w:num>
  <w:num w:numId="24" w16cid:durableId="1706324603">
    <w:abstractNumId w:val="8"/>
  </w:num>
  <w:num w:numId="25" w16cid:durableId="330061561">
    <w:abstractNumId w:val="7"/>
  </w:num>
  <w:num w:numId="26" w16cid:durableId="1920359600">
    <w:abstractNumId w:val="9"/>
  </w:num>
  <w:num w:numId="27" w16cid:durableId="1231888534">
    <w:abstractNumId w:val="27"/>
  </w:num>
  <w:num w:numId="28" w16cid:durableId="905608537">
    <w:abstractNumId w:val="12"/>
  </w:num>
  <w:num w:numId="29" w16cid:durableId="518542058">
    <w:abstractNumId w:val="20"/>
  </w:num>
  <w:num w:numId="30" w16cid:durableId="30180827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0A1F"/>
    <w:rsid w:val="00021185"/>
    <w:rsid w:val="000321AA"/>
    <w:rsid w:val="0003311D"/>
    <w:rsid w:val="000342F0"/>
    <w:rsid w:val="0003446D"/>
    <w:rsid w:val="000346F0"/>
    <w:rsid w:val="00035BC6"/>
    <w:rsid w:val="0003775E"/>
    <w:rsid w:val="00037AB5"/>
    <w:rsid w:val="00041414"/>
    <w:rsid w:val="00042907"/>
    <w:rsid w:val="000447C1"/>
    <w:rsid w:val="00044AC6"/>
    <w:rsid w:val="0004500E"/>
    <w:rsid w:val="00045E18"/>
    <w:rsid w:val="0004705F"/>
    <w:rsid w:val="000507E6"/>
    <w:rsid w:val="000514BF"/>
    <w:rsid w:val="00051A8E"/>
    <w:rsid w:val="00052DA4"/>
    <w:rsid w:val="00055146"/>
    <w:rsid w:val="00056E72"/>
    <w:rsid w:val="000570BA"/>
    <w:rsid w:val="00060EE8"/>
    <w:rsid w:val="00061FB6"/>
    <w:rsid w:val="000624AB"/>
    <w:rsid w:val="00064D33"/>
    <w:rsid w:val="00065824"/>
    <w:rsid w:val="00065E65"/>
    <w:rsid w:val="00065F41"/>
    <w:rsid w:val="000664CA"/>
    <w:rsid w:val="00066583"/>
    <w:rsid w:val="00066AB9"/>
    <w:rsid w:val="00067036"/>
    <w:rsid w:val="0007012F"/>
    <w:rsid w:val="00071256"/>
    <w:rsid w:val="000714B3"/>
    <w:rsid w:val="0007288C"/>
    <w:rsid w:val="00072D3A"/>
    <w:rsid w:val="000757FA"/>
    <w:rsid w:val="00075E93"/>
    <w:rsid w:val="000763D8"/>
    <w:rsid w:val="00076BBC"/>
    <w:rsid w:val="00077455"/>
    <w:rsid w:val="00080A09"/>
    <w:rsid w:val="00081051"/>
    <w:rsid w:val="000817FC"/>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84A"/>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2ECB"/>
    <w:rsid w:val="000C33DF"/>
    <w:rsid w:val="000C3CF0"/>
    <w:rsid w:val="000C659A"/>
    <w:rsid w:val="000D0DA3"/>
    <w:rsid w:val="000D10E1"/>
    <w:rsid w:val="000D23BE"/>
    <w:rsid w:val="000D264B"/>
    <w:rsid w:val="000D59AE"/>
    <w:rsid w:val="000D75C8"/>
    <w:rsid w:val="000E1B80"/>
    <w:rsid w:val="000E2973"/>
    <w:rsid w:val="000E5583"/>
    <w:rsid w:val="000E577B"/>
    <w:rsid w:val="000E65BE"/>
    <w:rsid w:val="000E7C25"/>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35AC7"/>
    <w:rsid w:val="0013630A"/>
    <w:rsid w:val="00136B1C"/>
    <w:rsid w:val="001424CD"/>
    <w:rsid w:val="001425C8"/>
    <w:rsid w:val="00142D63"/>
    <w:rsid w:val="0014389B"/>
    <w:rsid w:val="00144563"/>
    <w:rsid w:val="00147343"/>
    <w:rsid w:val="00147BA5"/>
    <w:rsid w:val="00150385"/>
    <w:rsid w:val="001509DB"/>
    <w:rsid w:val="001516D1"/>
    <w:rsid w:val="0015172A"/>
    <w:rsid w:val="001520D1"/>
    <w:rsid w:val="00152B15"/>
    <w:rsid w:val="00155403"/>
    <w:rsid w:val="0015642E"/>
    <w:rsid w:val="0016093F"/>
    <w:rsid w:val="001613E8"/>
    <w:rsid w:val="001614D1"/>
    <w:rsid w:val="00161E06"/>
    <w:rsid w:val="00162089"/>
    <w:rsid w:val="001620B1"/>
    <w:rsid w:val="001630A7"/>
    <w:rsid w:val="00167325"/>
    <w:rsid w:val="0017350E"/>
    <w:rsid w:val="0017784C"/>
    <w:rsid w:val="00177D9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4CCB"/>
    <w:rsid w:val="001A55E4"/>
    <w:rsid w:val="001A5995"/>
    <w:rsid w:val="001A6A0B"/>
    <w:rsid w:val="001A6AB8"/>
    <w:rsid w:val="001A72B2"/>
    <w:rsid w:val="001B0200"/>
    <w:rsid w:val="001B27DA"/>
    <w:rsid w:val="001B42E2"/>
    <w:rsid w:val="001B5362"/>
    <w:rsid w:val="001B55C5"/>
    <w:rsid w:val="001B56FC"/>
    <w:rsid w:val="001B7421"/>
    <w:rsid w:val="001B78D0"/>
    <w:rsid w:val="001C015C"/>
    <w:rsid w:val="001C0178"/>
    <w:rsid w:val="001C054A"/>
    <w:rsid w:val="001C06B5"/>
    <w:rsid w:val="001C0B16"/>
    <w:rsid w:val="001C3338"/>
    <w:rsid w:val="001C5E3E"/>
    <w:rsid w:val="001C5EE7"/>
    <w:rsid w:val="001D0916"/>
    <w:rsid w:val="001D463B"/>
    <w:rsid w:val="001D4BEB"/>
    <w:rsid w:val="001D55C3"/>
    <w:rsid w:val="001E2086"/>
    <w:rsid w:val="001E2B6E"/>
    <w:rsid w:val="001E2C36"/>
    <w:rsid w:val="001E5262"/>
    <w:rsid w:val="001E5C45"/>
    <w:rsid w:val="001E6854"/>
    <w:rsid w:val="001E6A44"/>
    <w:rsid w:val="001E7564"/>
    <w:rsid w:val="001E79E3"/>
    <w:rsid w:val="001E7ED7"/>
    <w:rsid w:val="001E7F9A"/>
    <w:rsid w:val="001F0518"/>
    <w:rsid w:val="001F0DB7"/>
    <w:rsid w:val="001F1630"/>
    <w:rsid w:val="001F3EBF"/>
    <w:rsid w:val="001F4259"/>
    <w:rsid w:val="001F4C64"/>
    <w:rsid w:val="001F5367"/>
    <w:rsid w:val="001F53E3"/>
    <w:rsid w:val="001F5A5D"/>
    <w:rsid w:val="001F66C1"/>
    <w:rsid w:val="001F6F39"/>
    <w:rsid w:val="00200883"/>
    <w:rsid w:val="00200C52"/>
    <w:rsid w:val="002031DB"/>
    <w:rsid w:val="00204020"/>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5F3"/>
    <w:rsid w:val="00220EF9"/>
    <w:rsid w:val="00222C41"/>
    <w:rsid w:val="00224EBA"/>
    <w:rsid w:val="002264E5"/>
    <w:rsid w:val="00226A52"/>
    <w:rsid w:val="0022741A"/>
    <w:rsid w:val="00230994"/>
    <w:rsid w:val="00230E64"/>
    <w:rsid w:val="00231202"/>
    <w:rsid w:val="0023472A"/>
    <w:rsid w:val="00236AF0"/>
    <w:rsid w:val="00237954"/>
    <w:rsid w:val="00237B5F"/>
    <w:rsid w:val="00240BE4"/>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65A8"/>
    <w:rsid w:val="002A23DD"/>
    <w:rsid w:val="002A3F31"/>
    <w:rsid w:val="002A43E6"/>
    <w:rsid w:val="002A55B8"/>
    <w:rsid w:val="002A60AC"/>
    <w:rsid w:val="002A7157"/>
    <w:rsid w:val="002A7382"/>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C09"/>
    <w:rsid w:val="002D4E76"/>
    <w:rsid w:val="002D6F0A"/>
    <w:rsid w:val="002D74DC"/>
    <w:rsid w:val="002E0043"/>
    <w:rsid w:val="002E0D0A"/>
    <w:rsid w:val="002E1106"/>
    <w:rsid w:val="002E1E52"/>
    <w:rsid w:val="002E2A3C"/>
    <w:rsid w:val="002E566A"/>
    <w:rsid w:val="002E5D46"/>
    <w:rsid w:val="002E627C"/>
    <w:rsid w:val="002E643C"/>
    <w:rsid w:val="002E6B95"/>
    <w:rsid w:val="002F01F8"/>
    <w:rsid w:val="002F16C3"/>
    <w:rsid w:val="002F2E8C"/>
    <w:rsid w:val="002F3783"/>
    <w:rsid w:val="002F4618"/>
    <w:rsid w:val="002F6787"/>
    <w:rsid w:val="002F6B53"/>
    <w:rsid w:val="002F7C52"/>
    <w:rsid w:val="002F7EE9"/>
    <w:rsid w:val="00300419"/>
    <w:rsid w:val="0030230A"/>
    <w:rsid w:val="003051BE"/>
    <w:rsid w:val="003054A5"/>
    <w:rsid w:val="00305FCE"/>
    <w:rsid w:val="003063D5"/>
    <w:rsid w:val="00310BBA"/>
    <w:rsid w:val="00312776"/>
    <w:rsid w:val="003131BD"/>
    <w:rsid w:val="003142C9"/>
    <w:rsid w:val="003147AF"/>
    <w:rsid w:val="00314F5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365"/>
    <w:rsid w:val="0033568B"/>
    <w:rsid w:val="00335F7F"/>
    <w:rsid w:val="00336671"/>
    <w:rsid w:val="00336F7E"/>
    <w:rsid w:val="00337183"/>
    <w:rsid w:val="00337833"/>
    <w:rsid w:val="003408EC"/>
    <w:rsid w:val="003409EE"/>
    <w:rsid w:val="00343A9D"/>
    <w:rsid w:val="00344923"/>
    <w:rsid w:val="00344D00"/>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5CE"/>
    <w:rsid w:val="0037575C"/>
    <w:rsid w:val="00376112"/>
    <w:rsid w:val="0037611C"/>
    <w:rsid w:val="003769D8"/>
    <w:rsid w:val="00377063"/>
    <w:rsid w:val="00377E17"/>
    <w:rsid w:val="0038131C"/>
    <w:rsid w:val="003827FA"/>
    <w:rsid w:val="00384B33"/>
    <w:rsid w:val="00385862"/>
    <w:rsid w:val="00385BE9"/>
    <w:rsid w:val="0038667C"/>
    <w:rsid w:val="00386BA2"/>
    <w:rsid w:val="0039218A"/>
    <w:rsid w:val="00392DCE"/>
    <w:rsid w:val="0039365E"/>
    <w:rsid w:val="00394F88"/>
    <w:rsid w:val="00395193"/>
    <w:rsid w:val="003A221C"/>
    <w:rsid w:val="003A2E29"/>
    <w:rsid w:val="003A5380"/>
    <w:rsid w:val="003A6320"/>
    <w:rsid w:val="003A7FBD"/>
    <w:rsid w:val="003B15DD"/>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55A7"/>
    <w:rsid w:val="004065A3"/>
    <w:rsid w:val="004110FE"/>
    <w:rsid w:val="00413808"/>
    <w:rsid w:val="004160FA"/>
    <w:rsid w:val="0041673A"/>
    <w:rsid w:val="00417C22"/>
    <w:rsid w:val="00417F3E"/>
    <w:rsid w:val="004214FD"/>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0F25"/>
    <w:rsid w:val="00474BA3"/>
    <w:rsid w:val="00474D27"/>
    <w:rsid w:val="004751B4"/>
    <w:rsid w:val="00475F6E"/>
    <w:rsid w:val="0047690F"/>
    <w:rsid w:val="00477080"/>
    <w:rsid w:val="00477A39"/>
    <w:rsid w:val="00483716"/>
    <w:rsid w:val="00483A19"/>
    <w:rsid w:val="004843E0"/>
    <w:rsid w:val="0048468B"/>
    <w:rsid w:val="00484F6C"/>
    <w:rsid w:val="00486D4E"/>
    <w:rsid w:val="004934C3"/>
    <w:rsid w:val="004951B5"/>
    <w:rsid w:val="00495A87"/>
    <w:rsid w:val="00495B35"/>
    <w:rsid w:val="0049677E"/>
    <w:rsid w:val="00497D95"/>
    <w:rsid w:val="004A02E0"/>
    <w:rsid w:val="004A145C"/>
    <w:rsid w:val="004A2802"/>
    <w:rsid w:val="004A4B2E"/>
    <w:rsid w:val="004A6D0E"/>
    <w:rsid w:val="004A731C"/>
    <w:rsid w:val="004A7E93"/>
    <w:rsid w:val="004B2F31"/>
    <w:rsid w:val="004B3159"/>
    <w:rsid w:val="004B31A0"/>
    <w:rsid w:val="004B34A1"/>
    <w:rsid w:val="004B401D"/>
    <w:rsid w:val="004B467A"/>
    <w:rsid w:val="004B4E25"/>
    <w:rsid w:val="004B6497"/>
    <w:rsid w:val="004B6A4B"/>
    <w:rsid w:val="004B6AD1"/>
    <w:rsid w:val="004B72AE"/>
    <w:rsid w:val="004B76C0"/>
    <w:rsid w:val="004C1267"/>
    <w:rsid w:val="004C1926"/>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6E2A"/>
    <w:rsid w:val="004F7541"/>
    <w:rsid w:val="004F7B58"/>
    <w:rsid w:val="00500308"/>
    <w:rsid w:val="00500505"/>
    <w:rsid w:val="00501342"/>
    <w:rsid w:val="00501476"/>
    <w:rsid w:val="0050217E"/>
    <w:rsid w:val="005032C0"/>
    <w:rsid w:val="00504EAE"/>
    <w:rsid w:val="0050625C"/>
    <w:rsid w:val="005062AE"/>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5309"/>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33DB"/>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424"/>
    <w:rsid w:val="005F6C32"/>
    <w:rsid w:val="005F741D"/>
    <w:rsid w:val="00603276"/>
    <w:rsid w:val="00603F4F"/>
    <w:rsid w:val="0060425A"/>
    <w:rsid w:val="0060503D"/>
    <w:rsid w:val="00606034"/>
    <w:rsid w:val="0060693B"/>
    <w:rsid w:val="0061080F"/>
    <w:rsid w:val="00611447"/>
    <w:rsid w:val="00611BE3"/>
    <w:rsid w:val="00612DB8"/>
    <w:rsid w:val="006138DB"/>
    <w:rsid w:val="00613A84"/>
    <w:rsid w:val="0061442A"/>
    <w:rsid w:val="0061478E"/>
    <w:rsid w:val="00617E9B"/>
    <w:rsid w:val="00620B71"/>
    <w:rsid w:val="006221D6"/>
    <w:rsid w:val="00622818"/>
    <w:rsid w:val="00624D2E"/>
    <w:rsid w:val="006268B2"/>
    <w:rsid w:val="00626A95"/>
    <w:rsid w:val="00627690"/>
    <w:rsid w:val="00627E3C"/>
    <w:rsid w:val="00630151"/>
    <w:rsid w:val="0063203A"/>
    <w:rsid w:val="00632E04"/>
    <w:rsid w:val="00634962"/>
    <w:rsid w:val="0063542E"/>
    <w:rsid w:val="006361A4"/>
    <w:rsid w:val="00636AA8"/>
    <w:rsid w:val="00636C34"/>
    <w:rsid w:val="00637B8A"/>
    <w:rsid w:val="00637CC4"/>
    <w:rsid w:val="00643304"/>
    <w:rsid w:val="0064478C"/>
    <w:rsid w:val="00644957"/>
    <w:rsid w:val="00645DA4"/>
    <w:rsid w:val="00647C4F"/>
    <w:rsid w:val="00647ED8"/>
    <w:rsid w:val="00650707"/>
    <w:rsid w:val="006512FD"/>
    <w:rsid w:val="0065204A"/>
    <w:rsid w:val="00652798"/>
    <w:rsid w:val="00652DA1"/>
    <w:rsid w:val="006533D8"/>
    <w:rsid w:val="006539FB"/>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1AAD"/>
    <w:rsid w:val="00682A77"/>
    <w:rsid w:val="00683CC9"/>
    <w:rsid w:val="00685F1A"/>
    <w:rsid w:val="006870CD"/>
    <w:rsid w:val="006906ED"/>
    <w:rsid w:val="0069077A"/>
    <w:rsid w:val="0069094C"/>
    <w:rsid w:val="00690E8E"/>
    <w:rsid w:val="0069176C"/>
    <w:rsid w:val="006934AE"/>
    <w:rsid w:val="0069356A"/>
    <w:rsid w:val="00695065"/>
    <w:rsid w:val="00695474"/>
    <w:rsid w:val="006960B2"/>
    <w:rsid w:val="00697627"/>
    <w:rsid w:val="00697790"/>
    <w:rsid w:val="006A0B5D"/>
    <w:rsid w:val="006A16BE"/>
    <w:rsid w:val="006A1DB3"/>
    <w:rsid w:val="006A2C6E"/>
    <w:rsid w:val="006A30FE"/>
    <w:rsid w:val="006A52FB"/>
    <w:rsid w:val="006A7A94"/>
    <w:rsid w:val="006A7DCC"/>
    <w:rsid w:val="006B0FA9"/>
    <w:rsid w:val="006B3355"/>
    <w:rsid w:val="006B52DD"/>
    <w:rsid w:val="006C0DA5"/>
    <w:rsid w:val="006C0E70"/>
    <w:rsid w:val="006C12C0"/>
    <w:rsid w:val="006C2C95"/>
    <w:rsid w:val="006C30C2"/>
    <w:rsid w:val="006C3F92"/>
    <w:rsid w:val="006C415B"/>
    <w:rsid w:val="006C4278"/>
    <w:rsid w:val="006C4BC7"/>
    <w:rsid w:val="006D0BB8"/>
    <w:rsid w:val="006D1523"/>
    <w:rsid w:val="006D1F3B"/>
    <w:rsid w:val="006D409C"/>
    <w:rsid w:val="006D455A"/>
    <w:rsid w:val="006D4BF8"/>
    <w:rsid w:val="006D6409"/>
    <w:rsid w:val="006E0F10"/>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6310"/>
    <w:rsid w:val="007103B4"/>
    <w:rsid w:val="00711BC2"/>
    <w:rsid w:val="00711D79"/>
    <w:rsid w:val="00712411"/>
    <w:rsid w:val="00717178"/>
    <w:rsid w:val="00717570"/>
    <w:rsid w:val="007225DF"/>
    <w:rsid w:val="00723F29"/>
    <w:rsid w:val="007258E3"/>
    <w:rsid w:val="00726BE1"/>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37E"/>
    <w:rsid w:val="007654BC"/>
    <w:rsid w:val="00766347"/>
    <w:rsid w:val="00766360"/>
    <w:rsid w:val="00766AF9"/>
    <w:rsid w:val="00771DB5"/>
    <w:rsid w:val="0077278A"/>
    <w:rsid w:val="007741B6"/>
    <w:rsid w:val="00774A9D"/>
    <w:rsid w:val="007750A7"/>
    <w:rsid w:val="00775148"/>
    <w:rsid w:val="00775B27"/>
    <w:rsid w:val="00776358"/>
    <w:rsid w:val="0078067F"/>
    <w:rsid w:val="00781DDC"/>
    <w:rsid w:val="00782354"/>
    <w:rsid w:val="00782BF6"/>
    <w:rsid w:val="00784289"/>
    <w:rsid w:val="00786F2A"/>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0C80"/>
    <w:rsid w:val="007B35F7"/>
    <w:rsid w:val="007B52F0"/>
    <w:rsid w:val="007B753C"/>
    <w:rsid w:val="007B7CDD"/>
    <w:rsid w:val="007B7FC6"/>
    <w:rsid w:val="007C0346"/>
    <w:rsid w:val="007C12A5"/>
    <w:rsid w:val="007C1311"/>
    <w:rsid w:val="007C1565"/>
    <w:rsid w:val="007C1FE7"/>
    <w:rsid w:val="007C41FB"/>
    <w:rsid w:val="007C43CC"/>
    <w:rsid w:val="007C5654"/>
    <w:rsid w:val="007C63B6"/>
    <w:rsid w:val="007C71EC"/>
    <w:rsid w:val="007C726D"/>
    <w:rsid w:val="007D3345"/>
    <w:rsid w:val="007D3726"/>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5713"/>
    <w:rsid w:val="007F5C04"/>
    <w:rsid w:val="00800607"/>
    <w:rsid w:val="00801058"/>
    <w:rsid w:val="0080219F"/>
    <w:rsid w:val="0080340B"/>
    <w:rsid w:val="00803C60"/>
    <w:rsid w:val="008046E2"/>
    <w:rsid w:val="00807C86"/>
    <w:rsid w:val="00813756"/>
    <w:rsid w:val="00813A30"/>
    <w:rsid w:val="00813FBD"/>
    <w:rsid w:val="00814109"/>
    <w:rsid w:val="00817C8A"/>
    <w:rsid w:val="0082039F"/>
    <w:rsid w:val="00823E3E"/>
    <w:rsid w:val="00823EE2"/>
    <w:rsid w:val="00823F62"/>
    <w:rsid w:val="00825706"/>
    <w:rsid w:val="008265F0"/>
    <w:rsid w:val="00827A76"/>
    <w:rsid w:val="008325B4"/>
    <w:rsid w:val="00832F7B"/>
    <w:rsid w:val="00834E6A"/>
    <w:rsid w:val="0083586E"/>
    <w:rsid w:val="0084348B"/>
    <w:rsid w:val="00844BEC"/>
    <w:rsid w:val="008460CE"/>
    <w:rsid w:val="0085120C"/>
    <w:rsid w:val="00851689"/>
    <w:rsid w:val="00851B8E"/>
    <w:rsid w:val="00851BCC"/>
    <w:rsid w:val="0085205D"/>
    <w:rsid w:val="00852E69"/>
    <w:rsid w:val="00852F0C"/>
    <w:rsid w:val="00854551"/>
    <w:rsid w:val="00855588"/>
    <w:rsid w:val="00856094"/>
    <w:rsid w:val="00856AA6"/>
    <w:rsid w:val="00856B9F"/>
    <w:rsid w:val="00856E2B"/>
    <w:rsid w:val="008602F6"/>
    <w:rsid w:val="00861A8C"/>
    <w:rsid w:val="008637BB"/>
    <w:rsid w:val="00863CE5"/>
    <w:rsid w:val="008653CF"/>
    <w:rsid w:val="00865420"/>
    <w:rsid w:val="008703C4"/>
    <w:rsid w:val="0087058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42C6"/>
    <w:rsid w:val="00894607"/>
    <w:rsid w:val="00894911"/>
    <w:rsid w:val="00894B65"/>
    <w:rsid w:val="00894C29"/>
    <w:rsid w:val="00895F66"/>
    <w:rsid w:val="00897B02"/>
    <w:rsid w:val="00897D3E"/>
    <w:rsid w:val="008A0312"/>
    <w:rsid w:val="008A0DCA"/>
    <w:rsid w:val="008A0DCE"/>
    <w:rsid w:val="008A18AA"/>
    <w:rsid w:val="008A3ABB"/>
    <w:rsid w:val="008A412F"/>
    <w:rsid w:val="008A5FF2"/>
    <w:rsid w:val="008A71C2"/>
    <w:rsid w:val="008A7873"/>
    <w:rsid w:val="008A7B05"/>
    <w:rsid w:val="008B0641"/>
    <w:rsid w:val="008B155D"/>
    <w:rsid w:val="008B1E1B"/>
    <w:rsid w:val="008B3C82"/>
    <w:rsid w:val="008B3CF6"/>
    <w:rsid w:val="008B3ED1"/>
    <w:rsid w:val="008B4255"/>
    <w:rsid w:val="008B526A"/>
    <w:rsid w:val="008B7B7B"/>
    <w:rsid w:val="008C0622"/>
    <w:rsid w:val="008C130B"/>
    <w:rsid w:val="008C15BC"/>
    <w:rsid w:val="008C180C"/>
    <w:rsid w:val="008C18D9"/>
    <w:rsid w:val="008C2BFB"/>
    <w:rsid w:val="008C2DAD"/>
    <w:rsid w:val="008C5046"/>
    <w:rsid w:val="008C52FD"/>
    <w:rsid w:val="008C5870"/>
    <w:rsid w:val="008C6FAF"/>
    <w:rsid w:val="008D1BB2"/>
    <w:rsid w:val="008D2501"/>
    <w:rsid w:val="008D3757"/>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1743"/>
    <w:rsid w:val="008F443B"/>
    <w:rsid w:val="008F4B76"/>
    <w:rsid w:val="008F4CD1"/>
    <w:rsid w:val="008F4DD4"/>
    <w:rsid w:val="008F54B0"/>
    <w:rsid w:val="008F5FB8"/>
    <w:rsid w:val="00900555"/>
    <w:rsid w:val="009012CB"/>
    <w:rsid w:val="00901B82"/>
    <w:rsid w:val="0090253D"/>
    <w:rsid w:val="00902719"/>
    <w:rsid w:val="00902D13"/>
    <w:rsid w:val="009032C3"/>
    <w:rsid w:val="009035C0"/>
    <w:rsid w:val="00904412"/>
    <w:rsid w:val="00905870"/>
    <w:rsid w:val="00911375"/>
    <w:rsid w:val="00911514"/>
    <w:rsid w:val="00914D85"/>
    <w:rsid w:val="00915732"/>
    <w:rsid w:val="00916629"/>
    <w:rsid w:val="00917B16"/>
    <w:rsid w:val="00917F21"/>
    <w:rsid w:val="00920547"/>
    <w:rsid w:val="0092307F"/>
    <w:rsid w:val="0093098E"/>
    <w:rsid w:val="009309C4"/>
    <w:rsid w:val="0093177F"/>
    <w:rsid w:val="00932031"/>
    <w:rsid w:val="009325B8"/>
    <w:rsid w:val="009328B3"/>
    <w:rsid w:val="00933455"/>
    <w:rsid w:val="0093347B"/>
    <w:rsid w:val="00935142"/>
    <w:rsid w:val="009354AD"/>
    <w:rsid w:val="00935866"/>
    <w:rsid w:val="009359C1"/>
    <w:rsid w:val="00936587"/>
    <w:rsid w:val="00937B9F"/>
    <w:rsid w:val="00937D17"/>
    <w:rsid w:val="0094004F"/>
    <w:rsid w:val="00941C0B"/>
    <w:rsid w:val="00942F5C"/>
    <w:rsid w:val="00944809"/>
    <w:rsid w:val="00944B81"/>
    <w:rsid w:val="00945CDF"/>
    <w:rsid w:val="00946022"/>
    <w:rsid w:val="00946088"/>
    <w:rsid w:val="009465FC"/>
    <w:rsid w:val="00952470"/>
    <w:rsid w:val="00956709"/>
    <w:rsid w:val="0095693F"/>
    <w:rsid w:val="009573D9"/>
    <w:rsid w:val="00957E62"/>
    <w:rsid w:val="00960870"/>
    <w:rsid w:val="00960E96"/>
    <w:rsid w:val="00961D1E"/>
    <w:rsid w:val="00961E7C"/>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85C99"/>
    <w:rsid w:val="00990F4F"/>
    <w:rsid w:val="00994A27"/>
    <w:rsid w:val="00997359"/>
    <w:rsid w:val="009A1106"/>
    <w:rsid w:val="009A1C2D"/>
    <w:rsid w:val="009A1E2F"/>
    <w:rsid w:val="009A2A27"/>
    <w:rsid w:val="009A528D"/>
    <w:rsid w:val="009A5584"/>
    <w:rsid w:val="009A57E4"/>
    <w:rsid w:val="009A5BFC"/>
    <w:rsid w:val="009A7476"/>
    <w:rsid w:val="009B0886"/>
    <w:rsid w:val="009B0AB1"/>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3C09"/>
    <w:rsid w:val="009D4A7B"/>
    <w:rsid w:val="009D535F"/>
    <w:rsid w:val="009D5FFA"/>
    <w:rsid w:val="009D7011"/>
    <w:rsid w:val="009D7101"/>
    <w:rsid w:val="009D73BE"/>
    <w:rsid w:val="009D78CF"/>
    <w:rsid w:val="009D7EFD"/>
    <w:rsid w:val="009E04D4"/>
    <w:rsid w:val="009E1882"/>
    <w:rsid w:val="009E2F47"/>
    <w:rsid w:val="009E336D"/>
    <w:rsid w:val="009E4618"/>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9F7746"/>
    <w:rsid w:val="00A004F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0460"/>
    <w:rsid w:val="00A320A8"/>
    <w:rsid w:val="00A3297F"/>
    <w:rsid w:val="00A3353F"/>
    <w:rsid w:val="00A34D00"/>
    <w:rsid w:val="00A360A0"/>
    <w:rsid w:val="00A3623F"/>
    <w:rsid w:val="00A41BDE"/>
    <w:rsid w:val="00A42036"/>
    <w:rsid w:val="00A4259F"/>
    <w:rsid w:val="00A43083"/>
    <w:rsid w:val="00A43174"/>
    <w:rsid w:val="00A4354F"/>
    <w:rsid w:val="00A4391C"/>
    <w:rsid w:val="00A441D4"/>
    <w:rsid w:val="00A44F0C"/>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949"/>
    <w:rsid w:val="00AA4C1C"/>
    <w:rsid w:val="00AA588E"/>
    <w:rsid w:val="00AA611A"/>
    <w:rsid w:val="00AA63F3"/>
    <w:rsid w:val="00AA6DAC"/>
    <w:rsid w:val="00AA716A"/>
    <w:rsid w:val="00AA78B0"/>
    <w:rsid w:val="00AB1510"/>
    <w:rsid w:val="00AB1FA0"/>
    <w:rsid w:val="00AB71B5"/>
    <w:rsid w:val="00AC157E"/>
    <w:rsid w:val="00AC1C1F"/>
    <w:rsid w:val="00AC1CDA"/>
    <w:rsid w:val="00AC2181"/>
    <w:rsid w:val="00AC2E95"/>
    <w:rsid w:val="00AC3747"/>
    <w:rsid w:val="00AC4518"/>
    <w:rsid w:val="00AC67BF"/>
    <w:rsid w:val="00AD15AF"/>
    <w:rsid w:val="00AD292B"/>
    <w:rsid w:val="00AD3101"/>
    <w:rsid w:val="00AD4BAD"/>
    <w:rsid w:val="00AD6017"/>
    <w:rsid w:val="00AD6584"/>
    <w:rsid w:val="00AD65F9"/>
    <w:rsid w:val="00AD6DE1"/>
    <w:rsid w:val="00AE0068"/>
    <w:rsid w:val="00AE08DD"/>
    <w:rsid w:val="00AE15DC"/>
    <w:rsid w:val="00AE19D1"/>
    <w:rsid w:val="00AE1A92"/>
    <w:rsid w:val="00AE1E34"/>
    <w:rsid w:val="00AE2470"/>
    <w:rsid w:val="00AE2D69"/>
    <w:rsid w:val="00AE3496"/>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4EBB"/>
    <w:rsid w:val="00B060D3"/>
    <w:rsid w:val="00B06368"/>
    <w:rsid w:val="00B10922"/>
    <w:rsid w:val="00B116ED"/>
    <w:rsid w:val="00B1215E"/>
    <w:rsid w:val="00B12FAD"/>
    <w:rsid w:val="00B13DDE"/>
    <w:rsid w:val="00B142C1"/>
    <w:rsid w:val="00B14B7E"/>
    <w:rsid w:val="00B16396"/>
    <w:rsid w:val="00B20319"/>
    <w:rsid w:val="00B232FD"/>
    <w:rsid w:val="00B27FC3"/>
    <w:rsid w:val="00B27FD8"/>
    <w:rsid w:val="00B30C95"/>
    <w:rsid w:val="00B317C5"/>
    <w:rsid w:val="00B33EC4"/>
    <w:rsid w:val="00B3432A"/>
    <w:rsid w:val="00B34343"/>
    <w:rsid w:val="00B3531D"/>
    <w:rsid w:val="00B365DA"/>
    <w:rsid w:val="00B37A16"/>
    <w:rsid w:val="00B40AF7"/>
    <w:rsid w:val="00B423A6"/>
    <w:rsid w:val="00B424F1"/>
    <w:rsid w:val="00B444B9"/>
    <w:rsid w:val="00B45382"/>
    <w:rsid w:val="00B45B95"/>
    <w:rsid w:val="00B45E5A"/>
    <w:rsid w:val="00B46331"/>
    <w:rsid w:val="00B5210A"/>
    <w:rsid w:val="00B53C4B"/>
    <w:rsid w:val="00B54478"/>
    <w:rsid w:val="00B56B13"/>
    <w:rsid w:val="00B56CF4"/>
    <w:rsid w:val="00B60226"/>
    <w:rsid w:val="00B60991"/>
    <w:rsid w:val="00B60B43"/>
    <w:rsid w:val="00B6172A"/>
    <w:rsid w:val="00B62026"/>
    <w:rsid w:val="00B62DBF"/>
    <w:rsid w:val="00B6571A"/>
    <w:rsid w:val="00B67026"/>
    <w:rsid w:val="00B707C1"/>
    <w:rsid w:val="00B71BB7"/>
    <w:rsid w:val="00B733A0"/>
    <w:rsid w:val="00B77174"/>
    <w:rsid w:val="00B82574"/>
    <w:rsid w:val="00B830CA"/>
    <w:rsid w:val="00B845DE"/>
    <w:rsid w:val="00B84EEB"/>
    <w:rsid w:val="00B850BF"/>
    <w:rsid w:val="00B857CC"/>
    <w:rsid w:val="00B85B25"/>
    <w:rsid w:val="00B86CDE"/>
    <w:rsid w:val="00B87619"/>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7E96"/>
    <w:rsid w:val="00BB00CD"/>
    <w:rsid w:val="00BB07B7"/>
    <w:rsid w:val="00BB3A62"/>
    <w:rsid w:val="00BB4109"/>
    <w:rsid w:val="00BB4D2E"/>
    <w:rsid w:val="00BB64AC"/>
    <w:rsid w:val="00BB7810"/>
    <w:rsid w:val="00BC13A0"/>
    <w:rsid w:val="00BC14B6"/>
    <w:rsid w:val="00BC151B"/>
    <w:rsid w:val="00BC1F26"/>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E7BB6"/>
    <w:rsid w:val="00BF0262"/>
    <w:rsid w:val="00BF0BCB"/>
    <w:rsid w:val="00BF15A1"/>
    <w:rsid w:val="00BF2202"/>
    <w:rsid w:val="00BF273A"/>
    <w:rsid w:val="00BF47D2"/>
    <w:rsid w:val="00BF4BAE"/>
    <w:rsid w:val="00BF4CDB"/>
    <w:rsid w:val="00BF58FF"/>
    <w:rsid w:val="00BF5BC6"/>
    <w:rsid w:val="00BF7FF9"/>
    <w:rsid w:val="00C004A0"/>
    <w:rsid w:val="00C0295D"/>
    <w:rsid w:val="00C02A15"/>
    <w:rsid w:val="00C0318E"/>
    <w:rsid w:val="00C04384"/>
    <w:rsid w:val="00C0501D"/>
    <w:rsid w:val="00C07E9B"/>
    <w:rsid w:val="00C12A70"/>
    <w:rsid w:val="00C130A9"/>
    <w:rsid w:val="00C139A4"/>
    <w:rsid w:val="00C144DA"/>
    <w:rsid w:val="00C1596D"/>
    <w:rsid w:val="00C1650C"/>
    <w:rsid w:val="00C16EBE"/>
    <w:rsid w:val="00C21BA4"/>
    <w:rsid w:val="00C22316"/>
    <w:rsid w:val="00C2385C"/>
    <w:rsid w:val="00C2396D"/>
    <w:rsid w:val="00C25DD3"/>
    <w:rsid w:val="00C260C9"/>
    <w:rsid w:val="00C26119"/>
    <w:rsid w:val="00C30088"/>
    <w:rsid w:val="00C3023A"/>
    <w:rsid w:val="00C32024"/>
    <w:rsid w:val="00C3346B"/>
    <w:rsid w:val="00C34B5B"/>
    <w:rsid w:val="00C3515C"/>
    <w:rsid w:val="00C3517E"/>
    <w:rsid w:val="00C35E97"/>
    <w:rsid w:val="00C36A73"/>
    <w:rsid w:val="00C40F17"/>
    <w:rsid w:val="00C413F6"/>
    <w:rsid w:val="00C420BC"/>
    <w:rsid w:val="00C42E81"/>
    <w:rsid w:val="00C4528A"/>
    <w:rsid w:val="00C45438"/>
    <w:rsid w:val="00C46257"/>
    <w:rsid w:val="00C46551"/>
    <w:rsid w:val="00C4694B"/>
    <w:rsid w:val="00C47899"/>
    <w:rsid w:val="00C47CCA"/>
    <w:rsid w:val="00C5069B"/>
    <w:rsid w:val="00C530F5"/>
    <w:rsid w:val="00C54428"/>
    <w:rsid w:val="00C55DF1"/>
    <w:rsid w:val="00C55ED0"/>
    <w:rsid w:val="00C56E62"/>
    <w:rsid w:val="00C57F53"/>
    <w:rsid w:val="00C600C4"/>
    <w:rsid w:val="00C60268"/>
    <w:rsid w:val="00C60794"/>
    <w:rsid w:val="00C614E3"/>
    <w:rsid w:val="00C623F0"/>
    <w:rsid w:val="00C627FE"/>
    <w:rsid w:val="00C62C20"/>
    <w:rsid w:val="00C62C74"/>
    <w:rsid w:val="00C63F39"/>
    <w:rsid w:val="00C66BDB"/>
    <w:rsid w:val="00C66C3C"/>
    <w:rsid w:val="00C703F6"/>
    <w:rsid w:val="00C70B4C"/>
    <w:rsid w:val="00C71012"/>
    <w:rsid w:val="00C71EF5"/>
    <w:rsid w:val="00C72EE2"/>
    <w:rsid w:val="00C744EA"/>
    <w:rsid w:val="00C76F38"/>
    <w:rsid w:val="00C777B0"/>
    <w:rsid w:val="00C77B5B"/>
    <w:rsid w:val="00C80AFF"/>
    <w:rsid w:val="00C83E40"/>
    <w:rsid w:val="00C863CB"/>
    <w:rsid w:val="00C87B17"/>
    <w:rsid w:val="00C92303"/>
    <w:rsid w:val="00C92A71"/>
    <w:rsid w:val="00C9371B"/>
    <w:rsid w:val="00C93FD9"/>
    <w:rsid w:val="00C942EF"/>
    <w:rsid w:val="00C96091"/>
    <w:rsid w:val="00C96E0C"/>
    <w:rsid w:val="00CA0284"/>
    <w:rsid w:val="00CA10BF"/>
    <w:rsid w:val="00CA1A6F"/>
    <w:rsid w:val="00CA1E45"/>
    <w:rsid w:val="00CA2864"/>
    <w:rsid w:val="00CA383F"/>
    <w:rsid w:val="00CA4254"/>
    <w:rsid w:val="00CA4A26"/>
    <w:rsid w:val="00CA57FC"/>
    <w:rsid w:val="00CA5F54"/>
    <w:rsid w:val="00CA706B"/>
    <w:rsid w:val="00CA7BC6"/>
    <w:rsid w:val="00CA7D94"/>
    <w:rsid w:val="00CB2B9A"/>
    <w:rsid w:val="00CB4B50"/>
    <w:rsid w:val="00CB6D68"/>
    <w:rsid w:val="00CB7139"/>
    <w:rsid w:val="00CC3003"/>
    <w:rsid w:val="00CC382A"/>
    <w:rsid w:val="00CC3B2A"/>
    <w:rsid w:val="00CC3E6F"/>
    <w:rsid w:val="00CC41D9"/>
    <w:rsid w:val="00CC4C4A"/>
    <w:rsid w:val="00CC4C51"/>
    <w:rsid w:val="00CC51C2"/>
    <w:rsid w:val="00CC712E"/>
    <w:rsid w:val="00CC7E8E"/>
    <w:rsid w:val="00CD110C"/>
    <w:rsid w:val="00CD22DD"/>
    <w:rsid w:val="00CD32EE"/>
    <w:rsid w:val="00CD462C"/>
    <w:rsid w:val="00CD7038"/>
    <w:rsid w:val="00CE017D"/>
    <w:rsid w:val="00CE0730"/>
    <w:rsid w:val="00CE10E0"/>
    <w:rsid w:val="00CE46DA"/>
    <w:rsid w:val="00CE5203"/>
    <w:rsid w:val="00CE5DAC"/>
    <w:rsid w:val="00CF0FDC"/>
    <w:rsid w:val="00CF1385"/>
    <w:rsid w:val="00CF27D2"/>
    <w:rsid w:val="00CF2B18"/>
    <w:rsid w:val="00CF3576"/>
    <w:rsid w:val="00CF3C1A"/>
    <w:rsid w:val="00CF3C62"/>
    <w:rsid w:val="00CF55E9"/>
    <w:rsid w:val="00CF7220"/>
    <w:rsid w:val="00CF7668"/>
    <w:rsid w:val="00D003F0"/>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3EB3"/>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2E14"/>
    <w:rsid w:val="00D44745"/>
    <w:rsid w:val="00D452BC"/>
    <w:rsid w:val="00D502C5"/>
    <w:rsid w:val="00D51517"/>
    <w:rsid w:val="00D5157D"/>
    <w:rsid w:val="00D51B2D"/>
    <w:rsid w:val="00D51CDD"/>
    <w:rsid w:val="00D52300"/>
    <w:rsid w:val="00D52967"/>
    <w:rsid w:val="00D52C3D"/>
    <w:rsid w:val="00D5334F"/>
    <w:rsid w:val="00D537D1"/>
    <w:rsid w:val="00D54625"/>
    <w:rsid w:val="00D54E08"/>
    <w:rsid w:val="00D5582E"/>
    <w:rsid w:val="00D5623C"/>
    <w:rsid w:val="00D5726E"/>
    <w:rsid w:val="00D60243"/>
    <w:rsid w:val="00D60928"/>
    <w:rsid w:val="00D61B22"/>
    <w:rsid w:val="00D65922"/>
    <w:rsid w:val="00D66162"/>
    <w:rsid w:val="00D67053"/>
    <w:rsid w:val="00D673EB"/>
    <w:rsid w:val="00D67FD1"/>
    <w:rsid w:val="00D71D27"/>
    <w:rsid w:val="00D720C6"/>
    <w:rsid w:val="00D72312"/>
    <w:rsid w:val="00D72F36"/>
    <w:rsid w:val="00D755FF"/>
    <w:rsid w:val="00D75BB6"/>
    <w:rsid w:val="00D7679F"/>
    <w:rsid w:val="00D76E3B"/>
    <w:rsid w:val="00D775DD"/>
    <w:rsid w:val="00D80FA5"/>
    <w:rsid w:val="00D81B6A"/>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6EE2"/>
    <w:rsid w:val="00DA7D24"/>
    <w:rsid w:val="00DB1152"/>
    <w:rsid w:val="00DB1645"/>
    <w:rsid w:val="00DB1D7D"/>
    <w:rsid w:val="00DB1EF0"/>
    <w:rsid w:val="00DB3D57"/>
    <w:rsid w:val="00DB658B"/>
    <w:rsid w:val="00DB7434"/>
    <w:rsid w:val="00DC1CC9"/>
    <w:rsid w:val="00DC2829"/>
    <w:rsid w:val="00DC5333"/>
    <w:rsid w:val="00DC7442"/>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334"/>
    <w:rsid w:val="00DE6B4C"/>
    <w:rsid w:val="00DE74AD"/>
    <w:rsid w:val="00DF05C6"/>
    <w:rsid w:val="00DF081D"/>
    <w:rsid w:val="00DF2377"/>
    <w:rsid w:val="00DF278B"/>
    <w:rsid w:val="00DF3FD5"/>
    <w:rsid w:val="00DF4EB4"/>
    <w:rsid w:val="00DF5505"/>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6F88"/>
    <w:rsid w:val="00E2005A"/>
    <w:rsid w:val="00E2113B"/>
    <w:rsid w:val="00E21202"/>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154"/>
    <w:rsid w:val="00E3765F"/>
    <w:rsid w:val="00E40A90"/>
    <w:rsid w:val="00E415C4"/>
    <w:rsid w:val="00E42860"/>
    <w:rsid w:val="00E42C29"/>
    <w:rsid w:val="00E435D7"/>
    <w:rsid w:val="00E466CA"/>
    <w:rsid w:val="00E47FDB"/>
    <w:rsid w:val="00E511EB"/>
    <w:rsid w:val="00E512F7"/>
    <w:rsid w:val="00E521E1"/>
    <w:rsid w:val="00E52FBE"/>
    <w:rsid w:val="00E556BD"/>
    <w:rsid w:val="00E5595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438"/>
    <w:rsid w:val="00EA26FE"/>
    <w:rsid w:val="00EA2DCF"/>
    <w:rsid w:val="00EA2EEB"/>
    <w:rsid w:val="00EA36EA"/>
    <w:rsid w:val="00EA43B4"/>
    <w:rsid w:val="00EA584A"/>
    <w:rsid w:val="00EA7141"/>
    <w:rsid w:val="00EA72CB"/>
    <w:rsid w:val="00EB03F8"/>
    <w:rsid w:val="00EB0D84"/>
    <w:rsid w:val="00EB1BF4"/>
    <w:rsid w:val="00EB1D6F"/>
    <w:rsid w:val="00EB2008"/>
    <w:rsid w:val="00EB22B8"/>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4A90"/>
    <w:rsid w:val="00ED51C1"/>
    <w:rsid w:val="00EE05DD"/>
    <w:rsid w:val="00EE0A4F"/>
    <w:rsid w:val="00EE366B"/>
    <w:rsid w:val="00EE565D"/>
    <w:rsid w:val="00EE5870"/>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377F2"/>
    <w:rsid w:val="00F40689"/>
    <w:rsid w:val="00F414C6"/>
    <w:rsid w:val="00F42251"/>
    <w:rsid w:val="00F43BE1"/>
    <w:rsid w:val="00F43F54"/>
    <w:rsid w:val="00F4400F"/>
    <w:rsid w:val="00F44165"/>
    <w:rsid w:val="00F44335"/>
    <w:rsid w:val="00F4535D"/>
    <w:rsid w:val="00F453EF"/>
    <w:rsid w:val="00F45486"/>
    <w:rsid w:val="00F458AB"/>
    <w:rsid w:val="00F45B49"/>
    <w:rsid w:val="00F465A8"/>
    <w:rsid w:val="00F467F0"/>
    <w:rsid w:val="00F5000B"/>
    <w:rsid w:val="00F500D7"/>
    <w:rsid w:val="00F50BF9"/>
    <w:rsid w:val="00F515BB"/>
    <w:rsid w:val="00F51822"/>
    <w:rsid w:val="00F51C4D"/>
    <w:rsid w:val="00F52D32"/>
    <w:rsid w:val="00F53CBC"/>
    <w:rsid w:val="00F541E7"/>
    <w:rsid w:val="00F547B6"/>
    <w:rsid w:val="00F56A2D"/>
    <w:rsid w:val="00F603A9"/>
    <w:rsid w:val="00F60561"/>
    <w:rsid w:val="00F60B48"/>
    <w:rsid w:val="00F6196E"/>
    <w:rsid w:val="00F61E54"/>
    <w:rsid w:val="00F62152"/>
    <w:rsid w:val="00F6281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1C5F"/>
    <w:rsid w:val="00F924A1"/>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678B"/>
    <w:rsid w:val="00FC6A26"/>
    <w:rsid w:val="00FC6C0C"/>
    <w:rsid w:val="00FC797C"/>
    <w:rsid w:val="00FD0557"/>
    <w:rsid w:val="00FD1B99"/>
    <w:rsid w:val="00FD288F"/>
    <w:rsid w:val="00FD2A08"/>
    <w:rsid w:val="00FD2A53"/>
    <w:rsid w:val="00FD2B8B"/>
    <w:rsid w:val="00FD6F71"/>
    <w:rsid w:val="00FD6FFE"/>
    <w:rsid w:val="00FD787F"/>
    <w:rsid w:val="00FD7BA3"/>
    <w:rsid w:val="00FE1400"/>
    <w:rsid w:val="00FE1F19"/>
    <w:rsid w:val="00FE20F3"/>
    <w:rsid w:val="00FE28B2"/>
    <w:rsid w:val="00FE359A"/>
    <w:rsid w:val="00FE37A5"/>
    <w:rsid w:val="00FE3F75"/>
    <w:rsid w:val="00FE5406"/>
    <w:rsid w:val="00FE5C5C"/>
    <w:rsid w:val="00FE6CC0"/>
    <w:rsid w:val="00FF2A67"/>
    <w:rsid w:val="00FF2E0F"/>
    <w:rsid w:val="00FF328F"/>
    <w:rsid w:val="00FF399C"/>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E0C"/>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line="259" w:lineRule="auto"/>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48700150">
      <w:bodyDiv w:val="1"/>
      <w:marLeft w:val="0"/>
      <w:marRight w:val="0"/>
      <w:marTop w:val="0"/>
      <w:marBottom w:val="0"/>
      <w:divBdr>
        <w:top w:val="none" w:sz="0" w:space="0" w:color="auto"/>
        <w:left w:val="none" w:sz="0" w:space="0" w:color="auto"/>
        <w:bottom w:val="none" w:sz="0" w:space="0" w:color="auto"/>
        <w:right w:val="none" w:sz="0" w:space="0" w:color="auto"/>
      </w:divBdr>
      <w:divsChild>
        <w:div w:id="568345802">
          <w:marLeft w:val="562"/>
          <w:marRight w:val="0"/>
          <w:marTop w:val="96"/>
          <w:marBottom w:val="0"/>
          <w:divBdr>
            <w:top w:val="none" w:sz="0" w:space="0" w:color="auto"/>
            <w:left w:val="none" w:sz="0" w:space="0" w:color="auto"/>
            <w:bottom w:val="none" w:sz="0" w:space="0" w:color="auto"/>
            <w:right w:val="none" w:sz="0" w:space="0" w:color="auto"/>
          </w:divBdr>
        </w:div>
        <w:div w:id="1651209759">
          <w:marLeft w:val="1022"/>
          <w:marRight w:val="0"/>
          <w:marTop w:val="86"/>
          <w:marBottom w:val="180"/>
          <w:divBdr>
            <w:top w:val="none" w:sz="0" w:space="0" w:color="auto"/>
            <w:left w:val="none" w:sz="0" w:space="0" w:color="auto"/>
            <w:bottom w:val="none" w:sz="0" w:space="0" w:color="auto"/>
            <w:right w:val="none" w:sz="0" w:space="0" w:color="auto"/>
          </w:divBdr>
        </w:div>
        <w:div w:id="1233658776">
          <w:marLeft w:val="1022"/>
          <w:marRight w:val="0"/>
          <w:marTop w:val="86"/>
          <w:marBottom w:val="180"/>
          <w:divBdr>
            <w:top w:val="none" w:sz="0" w:space="0" w:color="auto"/>
            <w:left w:val="none" w:sz="0" w:space="0" w:color="auto"/>
            <w:bottom w:val="none" w:sz="0" w:space="0" w:color="auto"/>
            <w:right w:val="none" w:sz="0" w:space="0" w:color="auto"/>
          </w:divBdr>
        </w:div>
        <w:div w:id="1764959542">
          <w:marLeft w:val="648"/>
          <w:marRight w:val="0"/>
          <w:marTop w:val="86"/>
          <w:marBottom w:val="0"/>
          <w:divBdr>
            <w:top w:val="none" w:sz="0" w:space="0" w:color="auto"/>
            <w:left w:val="none" w:sz="0" w:space="0" w:color="auto"/>
            <w:bottom w:val="none" w:sz="0" w:space="0" w:color="auto"/>
            <w:right w:val="none" w:sz="0" w:space="0" w:color="auto"/>
          </w:divBdr>
        </w:div>
        <w:div w:id="867066848">
          <w:marLeft w:val="821"/>
          <w:marRight w:val="0"/>
          <w:marTop w:val="86"/>
          <w:marBottom w:val="0"/>
          <w:divBdr>
            <w:top w:val="none" w:sz="0" w:space="0" w:color="auto"/>
            <w:left w:val="none" w:sz="0" w:space="0" w:color="auto"/>
            <w:bottom w:val="none" w:sz="0" w:space="0" w:color="auto"/>
            <w:right w:val="none" w:sz="0" w:space="0" w:color="auto"/>
          </w:divBdr>
        </w:div>
      </w:divsChild>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04475234">
      <w:bodyDiv w:val="1"/>
      <w:marLeft w:val="0"/>
      <w:marRight w:val="0"/>
      <w:marTop w:val="0"/>
      <w:marBottom w:val="0"/>
      <w:divBdr>
        <w:top w:val="none" w:sz="0" w:space="0" w:color="auto"/>
        <w:left w:val="none" w:sz="0" w:space="0" w:color="auto"/>
        <w:bottom w:val="none" w:sz="0" w:space="0" w:color="auto"/>
        <w:right w:val="none" w:sz="0" w:space="0" w:color="auto"/>
      </w:divBdr>
      <w:divsChild>
        <w:div w:id="2004896217">
          <w:marLeft w:val="562"/>
          <w:marRight w:val="0"/>
          <w:marTop w:val="96"/>
          <w:marBottom w:val="0"/>
          <w:divBdr>
            <w:top w:val="none" w:sz="0" w:space="0" w:color="auto"/>
            <w:left w:val="none" w:sz="0" w:space="0" w:color="auto"/>
            <w:bottom w:val="none" w:sz="0" w:space="0" w:color="auto"/>
            <w:right w:val="none" w:sz="0" w:space="0" w:color="auto"/>
          </w:divBdr>
        </w:div>
        <w:div w:id="549878405">
          <w:marLeft w:val="1022"/>
          <w:marRight w:val="0"/>
          <w:marTop w:val="86"/>
          <w:marBottom w:val="180"/>
          <w:divBdr>
            <w:top w:val="none" w:sz="0" w:space="0" w:color="auto"/>
            <w:left w:val="none" w:sz="0" w:space="0" w:color="auto"/>
            <w:bottom w:val="none" w:sz="0" w:space="0" w:color="auto"/>
            <w:right w:val="none" w:sz="0" w:space="0" w:color="auto"/>
          </w:divBdr>
        </w:div>
        <w:div w:id="563562750">
          <w:marLeft w:val="1022"/>
          <w:marRight w:val="0"/>
          <w:marTop w:val="86"/>
          <w:marBottom w:val="180"/>
          <w:divBdr>
            <w:top w:val="none" w:sz="0" w:space="0" w:color="auto"/>
            <w:left w:val="none" w:sz="0" w:space="0" w:color="auto"/>
            <w:bottom w:val="none" w:sz="0" w:space="0" w:color="auto"/>
            <w:right w:val="none" w:sz="0" w:space="0" w:color="auto"/>
          </w:divBdr>
        </w:div>
        <w:div w:id="1738362361">
          <w:marLeft w:val="821"/>
          <w:marRight w:val="0"/>
          <w:marTop w:val="86"/>
          <w:marBottom w:val="0"/>
          <w:divBdr>
            <w:top w:val="none" w:sz="0" w:space="0" w:color="auto"/>
            <w:left w:val="none" w:sz="0" w:space="0" w:color="auto"/>
            <w:bottom w:val="none" w:sz="0" w:space="0" w:color="auto"/>
            <w:right w:val="none" w:sz="0" w:space="0" w:color="auto"/>
          </w:divBdr>
        </w:div>
        <w:div w:id="422798248">
          <w:marLeft w:val="821"/>
          <w:marRight w:val="0"/>
          <w:marTop w:val="86"/>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18161428">
      <w:bodyDiv w:val="1"/>
      <w:marLeft w:val="0"/>
      <w:marRight w:val="0"/>
      <w:marTop w:val="0"/>
      <w:marBottom w:val="0"/>
      <w:divBdr>
        <w:top w:val="none" w:sz="0" w:space="0" w:color="auto"/>
        <w:left w:val="none" w:sz="0" w:space="0" w:color="auto"/>
        <w:bottom w:val="none" w:sz="0" w:space="0" w:color="auto"/>
        <w:right w:val="none" w:sz="0" w:space="0" w:color="auto"/>
      </w:divBdr>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63</cp:revision>
  <dcterms:created xsi:type="dcterms:W3CDTF">2025-02-03T17:50:00Z</dcterms:created>
  <dcterms:modified xsi:type="dcterms:W3CDTF">2025-03-27T16:19:00Z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